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before="960"/>
        <w:jc w:val="center"/>
      </w:pPr>
      <w:r>
        <w:rPr>
          <w:rFonts w:ascii="Aptos" w:cs="Aptos" w:eastAsia="Aptos" w:hAnsi="Aptos"/>
          <w:b/>
          <w:bCs/>
          <w:i w:val="false"/>
          <w:iCs w:val="false"/>
          <w:color w:val="A77822"/>
          <w:sz w:val="22"/>
          <w:szCs w:val="22"/>
          <w:lang w:val="es-CL"/>
        </w:rPr>
        <w:t xml:space="preserve">ENSEÑANZA BÍBLICA</w:t>
      </w:r>
    </w:p>
    <w:p>
      <w:pPr>
        <w:spacing w:after="80"/>
        <w:jc w:val="center"/>
      </w:pPr>
      <w:r>
        <w:rPr>
          <w:rFonts w:ascii="Aptos Display" w:cs="Aptos Display" w:eastAsia="Aptos Display" w:hAnsi="Aptos Display"/>
          <w:b/>
          <w:bCs/>
          <w:color w:val="18324A"/>
          <w:sz w:val="48"/>
          <w:szCs w:val="48"/>
          <w:lang w:val="es-CL"/>
        </w:rPr>
        <w:t xml:space="preserve">El partimiento del pan</w:t>
      </w:r>
    </w:p>
    <w:p>
      <w:pPr>
        <w:spacing w:after="340"/>
        <w:jc w:val="center"/>
      </w:pPr>
      <w:r>
        <w:rPr>
          <w:rFonts w:ascii="Aptos Display" w:cs="Aptos Display" w:eastAsia="Aptos Display" w:hAnsi="Aptos Display"/>
          <w:color w:val="2D5D7B"/>
          <w:sz w:val="30"/>
          <w:szCs w:val="30"/>
          <w:lang w:val="es-CL"/>
        </w:rPr>
        <w:t xml:space="preserve">Por qué la Cena del Señor no es una comida común</w:t>
      </w:r>
    </w:p>
    <w:p>
      <w:pPr>
        <w:keepNext w:val="false"/>
        <w:spacing w:after="100" w:before="0" w:line="288" w:lineRule="auto"/>
        <w:jc w:val="center"/>
      </w:pPr>
      <w:r>
        <w:rPr>
          <w:rFonts w:ascii="Aptos" w:cs="Aptos" w:eastAsia="Aptos" w:hAnsi="Aptos"/>
          <w:b w:val="false"/>
          <w:bCs w:val="false"/>
          <w:i w:val="false"/>
          <w:iCs w:val="false"/>
          <w:color w:val="5B6570"/>
          <w:sz w:val="22"/>
          <w:szCs w:val="22"/>
          <w:lang w:val="es-CL"/>
        </w:rPr>
        <w:t xml:space="preserve">Textos principales: Hechos 2:42, 46; 20:7; 1 Corintios 10:16–17; 11:17–34</w:t>
      </w:r>
    </w:p>
    <w:p>
      <w:pPr>
        <w:keepNext w:val="false"/>
        <w:spacing w:after="40" w:before="0" w:line="288" w:lineRule="auto"/>
        <w:jc w:val="center"/>
      </w:pPr>
      <w:r>
        <w:rPr>
          <w:rFonts w:ascii="Aptos" w:cs="Aptos" w:eastAsia="Aptos" w:hAnsi="Aptos"/>
          <w:b/>
          <w:bCs/>
          <w:i w:val="false"/>
          <w:iCs w:val="false"/>
          <w:color w:val="18324A"/>
          <w:sz w:val="22"/>
          <w:szCs w:val="22"/>
          <w:lang w:val="es-CL"/>
        </w:rPr>
        <w:t xml:space="preserve">Ed Rangel</w:t>
      </w:r>
    </w:p>
    <w:p>
      <w:pPr>
        <w:keepNext w:val="false"/>
        <w:spacing w:after="700" w:before="0" w:line="288" w:lineRule="auto"/>
        <w:jc w:val="center"/>
      </w:pPr>
      <w:r>
        <w:rPr>
          <w:rFonts w:ascii="Aptos" w:cs="Aptos" w:eastAsia="Aptos" w:hAnsi="Aptos"/>
          <w:b w:val="false"/>
          <w:bCs w:val="false"/>
          <w:i w:val="false"/>
          <w:iCs w:val="false"/>
          <w:color w:val="5B6570"/>
          <w:sz w:val="22"/>
          <w:szCs w:val="22"/>
          <w:lang w:val="es-CL"/>
        </w:rPr>
        <w:t xml:space="preserve">Enseñanza expositiva</w:t>
      </w:r>
    </w:p>
    <w:p>
      <w:pPr>
        <w:keepNext w:val="false"/>
        <w:spacing w:after="0" w:before="0" w:line="288" w:lineRule="auto"/>
        <w:ind w:left="720"/>
        <w:jc w:val="center"/>
      </w:pPr>
      <w:r>
        <w:rPr>
          <w:rFonts w:ascii="Aptos" w:cs="Aptos" w:eastAsia="Aptos" w:hAnsi="Aptos"/>
          <w:b w:val="false"/>
          <w:bCs w:val="false"/>
          <w:i/>
          <w:iCs/>
          <w:color w:val="2D5D7B"/>
          <w:sz w:val="22"/>
          <w:szCs w:val="22"/>
          <w:lang w:val="es-CL"/>
        </w:rPr>
        <w:t xml:space="preserve">“La iglesia debe conservar la diferencia que el Señor estableció entre su Cena y una comida destinada a satisfacer el hambre.”</w:t>
      </w:r>
    </w:p>
    <w:p>
      <w:pPr>
        <w:pStyle w:val="Heading1"/>
        <w:keepNext/>
        <w:spacing w:after="110" w:before="300"/>
      </w:pPr>
      <w:r>
        <w:t xml:space="preserve">Objetivos de la enseñanza</w:t>
      </w:r>
    </w:p>
    <w:p>
      <w:pPr>
        <w:pStyle w:val="ListParagraph"/>
        <w:numPr>
          <w:ilvl w:val="0"/>
          <w:numId w:val="2"/>
        </w:numPr>
        <w:spacing w:after="70" w:line="276"/>
      </w:pPr>
      <w:r>
        <w:rPr>
          <w:rFonts w:ascii="Aptos" w:cs="Aptos" w:eastAsia="Aptos" w:hAnsi="Aptos"/>
          <w:b w:val="false"/>
          <w:bCs w:val="false"/>
          <w:i w:val="false"/>
          <w:iCs w:val="false"/>
          <w:color w:val="20252A"/>
          <w:sz w:val="22"/>
          <w:szCs w:val="22"/>
          <w:lang w:val="es-CL"/>
        </w:rPr>
        <w:t xml:space="preserve">Distinguir el partimiento del pan de Hechos 2:42 del comer ordinario de Hechos 2:46.</w:t>
      </w:r>
    </w:p>
    <w:p>
      <w:pPr>
        <w:pStyle w:val="ListParagraph"/>
        <w:numPr>
          <w:ilvl w:val="0"/>
          <w:numId w:val="2"/>
        </w:numPr>
        <w:spacing w:after="70" w:line="276"/>
      </w:pPr>
      <w:r>
        <w:rPr>
          <w:rFonts w:ascii="Aptos" w:cs="Aptos" w:eastAsia="Aptos" w:hAnsi="Aptos"/>
          <w:b w:val="false"/>
          <w:bCs w:val="false"/>
          <w:i w:val="false"/>
          <w:iCs w:val="false"/>
          <w:color w:val="20252A"/>
          <w:sz w:val="22"/>
          <w:szCs w:val="22"/>
          <w:lang w:val="es-CL"/>
        </w:rPr>
        <w:t xml:space="preserve">Mostrar que la expresión “partir el pan” no tiene siempre un significado técnico; el contexto determina su sentido.</w:t>
      </w:r>
    </w:p>
    <w:p>
      <w:pPr>
        <w:pStyle w:val="ListParagraph"/>
        <w:numPr>
          <w:ilvl w:val="0"/>
          <w:numId w:val="2"/>
        </w:numPr>
        <w:spacing w:after="70" w:line="276"/>
      </w:pPr>
      <w:r>
        <w:rPr>
          <w:rFonts w:ascii="Aptos" w:cs="Aptos" w:eastAsia="Aptos" w:hAnsi="Aptos"/>
          <w:b w:val="false"/>
          <w:bCs w:val="false"/>
          <w:i w:val="false"/>
          <w:iCs w:val="false"/>
          <w:color w:val="20252A"/>
          <w:sz w:val="22"/>
          <w:szCs w:val="22"/>
          <w:lang w:val="es-CL"/>
        </w:rPr>
        <w:t xml:space="preserve">Explicar por qué los ágapes de Judas 12 no autorizan incluir la Cena del Señor dentro de una comida social.</w:t>
      </w:r>
    </w:p>
    <w:p>
      <w:pPr>
        <w:pStyle w:val="ListParagraph"/>
        <w:numPr>
          <w:ilvl w:val="0"/>
          <w:numId w:val="2"/>
        </w:numPr>
        <w:spacing w:after="70" w:line="276"/>
      </w:pPr>
      <w:r>
        <w:rPr>
          <w:rFonts w:ascii="Aptos" w:cs="Aptos" w:eastAsia="Aptos" w:hAnsi="Aptos"/>
          <w:b w:val="false"/>
          <w:bCs w:val="false"/>
          <w:i w:val="false"/>
          <w:iCs w:val="false"/>
          <w:color w:val="20252A"/>
          <w:sz w:val="22"/>
          <w:szCs w:val="22"/>
          <w:lang w:val="es-CL"/>
        </w:rPr>
        <w:t xml:space="preserve">Examinar la corrección apostólica de 1 Corintios 11 y su separación entre “la cena del Señor” y “su propia cena”.</w:t>
      </w:r>
    </w:p>
    <w:p>
      <w:pPr>
        <w:pStyle w:val="ListParagraph"/>
        <w:numPr>
          <w:ilvl w:val="0"/>
          <w:numId w:val="2"/>
        </w:numPr>
        <w:spacing w:after="70" w:line="276"/>
      </w:pPr>
      <w:r>
        <w:rPr>
          <w:rFonts w:ascii="Aptos" w:cs="Aptos" w:eastAsia="Aptos" w:hAnsi="Aptos"/>
          <w:b w:val="false"/>
          <w:bCs w:val="false"/>
          <w:i w:val="false"/>
          <w:iCs w:val="false"/>
          <w:color w:val="20252A"/>
          <w:sz w:val="22"/>
          <w:szCs w:val="22"/>
          <w:lang w:val="es-CL"/>
        </w:rPr>
        <w:t xml:space="preserve">Llamar a la iglesia a observar la Cena con reverencia, discernimiento y fidelidad al modelo apostólico.</w:t>
      </w:r>
    </w:p>
    <w:p>
      <w:pPr>
        <w:pStyle w:val="Heading1"/>
        <w:keepNext/>
        <w:spacing w:after="110" w:before="300"/>
      </w:pPr>
      <w:r>
        <w:t xml:space="preserve">Tesis</w:t>
      </w:r>
    </w:p>
    <w:tbl>
      <w:tblPr>
        <w:tblW w:type="dxa" w:w="9360"/>
        <w:tblBorders>
          <w:top w:val="single" w:color="auto" w:sz="4"/>
          <w:left w:val="single" w:color="auto" w:sz="4"/>
          <w:bottom w:val="single" w:color="auto" w:sz="4"/>
          <w:right w:val="single" w:color="auto" w:sz="4"/>
          <w:insideH w:val="single" w:color="auto" w:sz="4"/>
          <w:insideV w:val="single" w:color="auto" w:sz="4"/>
        </w:tblBorders>
        <w:tblCellMar>
          <w:top w:type="dxa" w:w="130"/>
          <w:left w:type="dxa" w:w="180"/>
          <w:bottom w:type="dxa" w:w="130"/>
          <w:right w:type="dxa" w:w="180"/>
        </w:tblCellMar>
      </w:tblPr>
      <w:tblGrid>
        <w:gridCol w:w="9360"/>
      </w:tblGrid>
      <w:tr>
        <w:tc>
          <w:tcPr>
            <w:tcW w:type="dxa" w:w="9360"/>
            <w:tcBorders>
              <w:top w:val="single" w:color="2D5D7B" w:sz="10"/>
              <w:left w:val="single" w:color="2D5D7B" w:sz="18"/>
              <w:bottom w:val="single" w:color="2D5D7B" w:sz="10"/>
              <w:right w:val="single" w:color="2D5D7B" w:sz="10"/>
            </w:tcBorders>
            <w:shd w:fill="EAF2F7" w:val="clear"/>
          </w:tcPr>
          <w:p>
            <w:pPr>
              <w:keepNext w:val="false"/>
              <w:spacing w:after="55" w:before="0" w:line="288" w:lineRule="auto"/>
            </w:pPr>
            <w:r>
              <w:rPr>
                <w:rFonts w:ascii="Aptos" w:cs="Aptos" w:eastAsia="Aptos" w:hAnsi="Aptos"/>
                <w:b/>
                <w:bCs/>
                <w:i w:val="false"/>
                <w:iCs w:val="false"/>
                <w:color w:val="18324A"/>
                <w:sz w:val="22"/>
                <w:szCs w:val="22"/>
                <w:lang w:val="es-CL"/>
              </w:rPr>
              <w:t xml:space="preserve">Verdad central</w:t>
            </w:r>
          </w:p>
          <w:p>
            <w:pPr>
              <w:keepNext w:val="false"/>
              <w:spacing w:after="0" w:before="0" w:line="288" w:lineRule="auto"/>
            </w:pPr>
            <w:r>
              <w:rPr>
                <w:rFonts w:ascii="Aptos" w:cs="Aptos" w:eastAsia="Aptos" w:hAnsi="Aptos"/>
                <w:b w:val="false"/>
                <w:bCs w:val="false"/>
                <w:i w:val="false"/>
                <w:iCs w:val="false"/>
                <w:color w:val="20252A"/>
                <w:sz w:val="22"/>
                <w:szCs w:val="22"/>
                <w:lang w:val="es-CL"/>
              </w:rPr>
              <w:t xml:space="preserve">Hechos 2:46 describe alimentos ordinarios compartidos en las casas. No describe la Cena del Señor ni establece un ágape como marco para celebrarla. La Cena pertenece a la reunión de la iglesia, conserva los elementos y el significado dados por Cristo, y no debe ser convertida en una comida para satisfacer el hambre.</w:t>
            </w:r>
          </w:p>
        </w:tc>
      </w:tr>
    </w:tbl>
    <w:p>
      <w:pPr>
        <w:pStyle w:val="Heading1"/>
        <w:keepNext/>
        <w:spacing w:after="110" w:before="300"/>
      </w:pPr>
      <w:r>
        <w:t xml:space="preserve">Introducción</w:t>
      </w:r>
    </w:p>
    <w:p>
      <w:pPr>
        <w:keepNext w:val="false"/>
        <w:spacing w:after="120" w:before="0" w:line="288" w:lineRule="auto"/>
      </w:pPr>
      <w:r>
        <w:rPr>
          <w:rFonts w:ascii="Aptos" w:cs="Aptos" w:eastAsia="Aptos" w:hAnsi="Aptos"/>
          <w:b w:val="false"/>
          <w:bCs w:val="false"/>
          <w:i w:val="false"/>
          <w:iCs w:val="false"/>
          <w:color w:val="20252A"/>
          <w:sz w:val="22"/>
          <w:szCs w:val="22"/>
          <w:lang w:val="es-CL"/>
        </w:rPr>
        <w:t xml:space="preserve">Una misma expresión puede emplearse con sentidos diferentes. Decir que alguien “partió el pan” puede describir una comida ordinaria o, en un contexto de adoración, la Cena del Señor. Por eso no basta encontrar las palabras “partir el pan” y asignarles automáticamente un solo significado.</w:t>
      </w:r>
    </w:p>
    <w:p>
      <w:pPr>
        <w:keepNext w:val="false"/>
        <w:spacing w:after="120" w:before="0" w:line="288" w:lineRule="auto"/>
      </w:pPr>
      <w:r>
        <w:rPr>
          <w:rFonts w:ascii="Aptos" w:cs="Aptos" w:eastAsia="Aptos" w:hAnsi="Aptos"/>
          <w:b w:val="false"/>
          <w:bCs w:val="false"/>
          <w:i w:val="false"/>
          <w:iCs w:val="false"/>
          <w:color w:val="20252A"/>
          <w:sz w:val="22"/>
          <w:szCs w:val="22"/>
          <w:lang w:val="es-CL"/>
        </w:rPr>
        <w:t xml:space="preserve">El problema aparece cuando Hechos 2:46 se usa para afirmar que la Cena del Señor era una comida común, o que debía celebrarse dentro de un ágape. Esa conclusión no procede del texto. Lucas mismo explica qué clase de comida tiene en mente: los creyentes comían en sus casas, participaban de alimentos y lo hacían con alegría. El contexto es hospitalidad y vida compartida, no la institución de un acto de adoración.</w:t>
      </w:r>
    </w:p>
    <w:p>
      <w:pPr>
        <w:keepNext w:val="false"/>
        <w:spacing w:after="120" w:before="0" w:line="288" w:lineRule="auto"/>
      </w:pPr>
      <w:r>
        <w:rPr>
          <w:rFonts w:ascii="Aptos" w:cs="Aptos" w:eastAsia="Aptos" w:hAnsi="Aptos"/>
          <w:b w:val="false"/>
          <w:bCs w:val="false"/>
          <w:i w:val="false"/>
          <w:iCs w:val="false"/>
          <w:color w:val="20252A"/>
          <w:sz w:val="22"/>
          <w:szCs w:val="22"/>
          <w:lang w:val="es-CL"/>
        </w:rPr>
        <w:t xml:space="preserve">La pregunta correcta no es: “¿Aparece la frase partir el pan?” La pregunta correcta es: “¿Qué está ocurriendo en este pasaje, quiénes participan, dónde sucede, con qué propósito y cómo lo explica el escritor inspirado?”</w:t>
      </w:r>
    </w:p>
    <w:p>
      <w:pPr>
        <w:pStyle w:val="Heading1"/>
        <w:keepNext/>
        <w:spacing w:after="110" w:before="300"/>
      </w:pPr>
      <w:r>
        <w:t xml:space="preserve">I. La Cena del Señor descansa sobre la autoridad de Cristo</w:t>
      </w:r>
    </w:p>
    <w:p>
      <w:pPr>
        <w:pStyle w:val="Heading2"/>
        <w:keepNext/>
        <w:spacing w:after="110" w:before="220"/>
      </w:pPr>
      <w:r>
        <w:t xml:space="preserve">A. Cristo determinó sus elementos y su significado</w:t>
      </w:r>
    </w:p>
    <w:p>
      <w:pPr>
        <w:pStyle w:val="ListParagraph"/>
        <w:numPr>
          <w:ilvl w:val="0"/>
          <w:numId w:val="3"/>
        </w:numPr>
        <w:spacing w:after="80" w:line="276"/>
      </w:pPr>
      <w:r>
        <w:rPr>
          <w:rFonts w:ascii="Aptos" w:cs="Aptos" w:eastAsia="Aptos" w:hAnsi="Aptos"/>
          <w:b w:val="false"/>
          <w:bCs w:val="false"/>
          <w:i w:val="false"/>
          <w:iCs w:val="false"/>
          <w:color w:val="20252A"/>
          <w:sz w:val="22"/>
          <w:szCs w:val="22"/>
          <w:lang w:val="es-CL"/>
        </w:rPr>
        <w:t xml:space="preserve">Jesús instituyó la Cena la noche en que fue entregado, usando el pan y la copa para señalar su cuerpo y su sangre (Mateo 26:26–29; Marcos 14:22–25; Lucas 22:14–20).</w:t>
      </w:r>
    </w:p>
    <w:p>
      <w:pPr>
        <w:pStyle w:val="ListParagraph"/>
        <w:numPr>
          <w:ilvl w:val="0"/>
          <w:numId w:val="3"/>
        </w:numPr>
        <w:spacing w:after="80" w:line="276"/>
      </w:pPr>
      <w:r>
        <w:rPr>
          <w:rFonts w:ascii="Aptos" w:cs="Aptos" w:eastAsia="Aptos" w:hAnsi="Aptos"/>
          <w:b w:val="false"/>
          <w:bCs w:val="false"/>
          <w:i w:val="false"/>
          <w:iCs w:val="false"/>
          <w:color w:val="20252A"/>
          <w:sz w:val="22"/>
          <w:szCs w:val="22"/>
          <w:lang w:val="es-CL"/>
        </w:rPr>
        <w:t xml:space="preserve">La Pascua fue el contexto histórico de la institución, pero no era una comida social inventada por la iglesia. Era una observancia ordenada por Dios bajo el pacto antiguo.</w:t>
      </w:r>
    </w:p>
    <w:p>
      <w:pPr>
        <w:pStyle w:val="ListParagraph"/>
        <w:numPr>
          <w:ilvl w:val="0"/>
          <w:numId w:val="3"/>
        </w:numPr>
        <w:spacing w:after="80" w:line="276"/>
      </w:pPr>
      <w:r>
        <w:rPr>
          <w:rFonts w:ascii="Aptos" w:cs="Aptos" w:eastAsia="Aptos" w:hAnsi="Aptos"/>
          <w:b w:val="false"/>
          <w:bCs w:val="false"/>
          <w:i w:val="false"/>
          <w:iCs w:val="false"/>
          <w:color w:val="20252A"/>
          <w:sz w:val="22"/>
          <w:szCs w:val="22"/>
          <w:lang w:val="es-CL"/>
        </w:rPr>
        <w:t xml:space="preserve">Después de cumplir la Pascua, Cristo estableció el memorial del nuevo pacto. La iglesia no recibió autoridad para añadirle una comida común ni para convertirla en una cena destinada a satisfacer el apetito.</w:t>
      </w:r>
    </w:p>
    <w:p>
      <w:pPr>
        <w:pStyle w:val="Heading2"/>
        <w:keepNext/>
        <w:spacing w:after="110" w:before="220"/>
      </w:pPr>
      <w:r>
        <w:t xml:space="preserve">B. Pablo entregó lo que recibió del Señor</w:t>
      </w:r>
    </w:p>
    <w:p>
      <w:pPr>
        <w:keepNext w:val="false"/>
        <w:spacing w:after="120" w:before="0" w:line="288" w:lineRule="auto"/>
      </w:pPr>
      <w:r>
        <w:rPr>
          <w:rFonts w:ascii="Aptos" w:cs="Aptos" w:eastAsia="Aptos" w:hAnsi="Aptos"/>
          <w:b w:val="false"/>
          <w:bCs w:val="false"/>
          <w:i w:val="false"/>
          <w:iCs w:val="false"/>
          <w:color w:val="20252A"/>
          <w:sz w:val="22"/>
          <w:szCs w:val="22"/>
          <w:lang w:val="es-CL"/>
        </w:rPr>
        <w:t xml:space="preserve">En 1 Corintios 11:23–26, Pablo no apela a una costumbre cultural de Corinto. Apela a lo que recibió del Señor. La Cena proclama la muerte de Cristo, recuerda su sacrificio y mira hacia su regreso. Su forma y propósito no están bajo el control de la preferencia humana.</w:t>
      </w:r>
    </w:p>
    <w:tbl>
      <w:tblPr>
        <w:tblW w:type="dxa" w:w="9360"/>
        <w:tblBorders>
          <w:top w:val="single" w:color="auto" w:sz="4"/>
          <w:left w:val="single" w:color="auto" w:sz="4"/>
          <w:bottom w:val="single" w:color="auto" w:sz="4"/>
          <w:right w:val="single" w:color="auto" w:sz="4"/>
          <w:insideH w:val="single" w:color="auto" w:sz="4"/>
          <w:insideV w:val="single" w:color="auto" w:sz="4"/>
        </w:tblBorders>
        <w:tblCellMar>
          <w:top w:type="dxa" w:w="130"/>
          <w:left w:type="dxa" w:w="180"/>
          <w:bottom w:type="dxa" w:w="130"/>
          <w:right w:type="dxa" w:w="180"/>
        </w:tblCellMar>
      </w:tblPr>
      <w:tblGrid>
        <w:gridCol w:w="9360"/>
      </w:tblGrid>
      <w:tr>
        <w:tc>
          <w:tcPr>
            <w:tcW w:type="dxa" w:w="9360"/>
            <w:tcBorders>
              <w:top w:val="single" w:color="2D5D7B" w:sz="10"/>
              <w:left w:val="single" w:color="2D5D7B" w:sz="18"/>
              <w:bottom w:val="single" w:color="2D5D7B" w:sz="10"/>
              <w:right w:val="single" w:color="2D5D7B" w:sz="10"/>
            </w:tcBorders>
            <w:shd w:fill="EAF2F7" w:val="clear"/>
          </w:tcPr>
          <w:p>
            <w:pPr>
              <w:keepNext w:val="false"/>
              <w:spacing w:after="55" w:before="0" w:line="288" w:lineRule="auto"/>
            </w:pPr>
            <w:r>
              <w:rPr>
                <w:rFonts w:ascii="Aptos" w:cs="Aptos" w:eastAsia="Aptos" w:hAnsi="Aptos"/>
                <w:b/>
                <w:bCs/>
                <w:i w:val="false"/>
                <w:iCs w:val="false"/>
                <w:color w:val="18324A"/>
                <w:sz w:val="22"/>
                <w:szCs w:val="22"/>
                <w:lang w:val="es-CL"/>
              </w:rPr>
              <w:t xml:space="preserve">Principio de autoridad</w:t>
            </w:r>
          </w:p>
          <w:p>
            <w:pPr>
              <w:keepNext w:val="false"/>
              <w:spacing w:after="0" w:before="0" w:line="288" w:lineRule="auto"/>
            </w:pPr>
            <w:r>
              <w:rPr>
                <w:rFonts w:ascii="Aptos" w:cs="Aptos" w:eastAsia="Aptos" w:hAnsi="Aptos"/>
                <w:b w:val="false"/>
                <w:bCs w:val="false"/>
                <w:i w:val="false"/>
                <w:iCs w:val="false"/>
                <w:color w:val="20252A"/>
                <w:sz w:val="22"/>
                <w:szCs w:val="22"/>
                <w:lang w:val="es-CL"/>
              </w:rPr>
              <w:t xml:space="preserve">Que Jesús instituyera la Cena durante la Pascua no autoriza a la iglesia a crear un ágape cristiano alrededor de ella. Una circunstancia histórica no se convierte automáticamente en un elemento permanente de la práctica apostólica.</w:t>
            </w:r>
          </w:p>
        </w:tc>
      </w:tr>
    </w:tbl>
    <w:p>
      <w:pPr>
        <w:pStyle w:val="Heading1"/>
        <w:keepNext/>
        <w:spacing w:after="110" w:before="300"/>
      </w:pPr>
      <w:r>
        <w:t xml:space="preserve">II. Hechos 2 distingue dos clases de “partimiento del pan”</w:t>
      </w:r>
    </w:p>
    <w:p>
      <w:pPr>
        <w:pStyle w:val="Heading2"/>
        <w:keepNext/>
        <w:spacing w:after="110" w:before="220"/>
      </w:pPr>
      <w:r>
        <w:t xml:space="preserve">A. Hechos 2:42: “el partimiento del pan”</w:t>
      </w:r>
    </w:p>
    <w:p>
      <w:pPr>
        <w:keepNext w:val="false"/>
        <w:spacing w:after="120" w:before="0" w:line="288" w:lineRule="auto"/>
      </w:pPr>
      <w:r>
        <w:rPr>
          <w:rFonts w:ascii="Aptos" w:cs="Aptos" w:eastAsia="Aptos" w:hAnsi="Aptos"/>
          <w:b w:val="false"/>
          <w:bCs w:val="false"/>
          <w:i w:val="false"/>
          <w:iCs w:val="false"/>
          <w:color w:val="20252A"/>
          <w:sz w:val="22"/>
          <w:szCs w:val="22"/>
          <w:lang w:val="es-CL"/>
        </w:rPr>
        <w:t xml:space="preserve">Hechos 2:42 presenta cuatro prácticas en las que perseveraban los primeros cristianos: la enseñanza de los apóstoles, la comunión, el partimiento del pan y las oraciones. Todo el conjunto pertenece a la vida espiritual y apostólica de la iglesia.</w:t>
      </w:r>
    </w:p>
    <w:p>
      <w:pPr>
        <w:keepNext w:val="false"/>
        <w:spacing w:after="120" w:before="0" w:line="288" w:lineRule="auto"/>
      </w:pPr>
      <w:r>
        <w:rPr>
          <w:rFonts w:ascii="Aptos" w:cs="Aptos" w:eastAsia="Aptos" w:hAnsi="Aptos"/>
          <w:b w:val="false"/>
          <w:bCs w:val="false"/>
          <w:i w:val="false"/>
          <w:iCs w:val="false"/>
          <w:color w:val="20252A"/>
          <w:sz w:val="22"/>
          <w:szCs w:val="22"/>
          <w:lang w:val="es-CL"/>
        </w:rPr>
        <w:t xml:space="preserve">La construcción griega es tē klasei tou artou: “el partimiento del pan”. El artículo y el marco espiritual señalan un partimiento definido y conocido. En este contexto, se trata de la Cena del Señor.</w:t>
      </w:r>
    </w:p>
    <w:p>
      <w:pPr>
        <w:pStyle w:val="Heading2"/>
        <w:keepNext/>
        <w:spacing w:after="110" w:before="220"/>
      </w:pPr>
      <w:r>
        <w:t xml:space="preserve">B. Hechos 2:46: comida ordinaria en las casas</w:t>
      </w:r>
    </w:p>
    <w:p>
      <w:pPr>
        <w:keepNext w:val="false"/>
        <w:spacing w:after="120" w:before="0" w:line="288" w:lineRule="auto"/>
      </w:pPr>
      <w:r>
        <w:rPr>
          <w:rFonts w:ascii="Aptos" w:cs="Aptos" w:eastAsia="Aptos" w:hAnsi="Aptos"/>
          <w:b w:val="false"/>
          <w:bCs w:val="false"/>
          <w:i w:val="false"/>
          <w:iCs w:val="false"/>
          <w:color w:val="20252A"/>
          <w:sz w:val="22"/>
          <w:szCs w:val="22"/>
          <w:lang w:val="es-CL"/>
        </w:rPr>
        <w:t xml:space="preserve">Hechos 2:46 cambia de escena. Los creyentes partían pan de casa en casa y participaban de sus alimentos con alegría y sencillez de corazón. Lucas no deja el significado en duda: habla de comida, hogares y convivencia diaria.</w:t>
      </w:r>
    </w:p>
    <w:p>
      <w:pPr>
        <w:keepNext w:val="false"/>
        <w:spacing w:after="120" w:before="0" w:line="288" w:lineRule="auto"/>
      </w:pPr>
      <w:r>
        <w:rPr>
          <w:rFonts w:ascii="Aptos" w:cs="Aptos" w:eastAsia="Aptos" w:hAnsi="Aptos"/>
          <w:b w:val="false"/>
          <w:bCs w:val="false"/>
          <w:i w:val="false"/>
          <w:iCs w:val="false"/>
          <w:color w:val="20252A"/>
          <w:sz w:val="22"/>
          <w:szCs w:val="22"/>
          <w:lang w:val="es-CL"/>
        </w:rPr>
        <w:t xml:space="preserve">La expresión griega klōntes … arton … metelambanon trophēs comunica que partían pan y participaban de alimento. Aquí no aparece el marco de una reunión del primer día de la semana, ni se mencionan la copa, el memorial, la proclamación de la muerte de Cristo o el examen personal.</w:t>
      </w:r>
    </w:p>
    <w:p>
      <w:pPr>
        <w:keepNext w:val="false"/>
        <w:spacing w:after="120" w:before="0" w:line="288" w:lineRule="auto"/>
      </w:pPr>
      <w:r>
        <w:rPr>
          <w:rFonts w:ascii="Aptos" w:cs="Aptos" w:eastAsia="Aptos" w:hAnsi="Aptos"/>
          <w:b w:val="false"/>
          <w:bCs w:val="false"/>
          <w:i w:val="false"/>
          <w:iCs w:val="false"/>
          <w:color w:val="20252A"/>
          <w:sz w:val="22"/>
          <w:szCs w:val="22"/>
          <w:lang w:val="es-CL"/>
        </w:rPr>
        <w:t xml:space="preserve">Por tanto, Hechos 2:46 describe </w:t>
      </w:r>
      <w:r>
        <w:rPr>
          <w:rFonts w:ascii="Aptos" w:cs="Aptos" w:eastAsia="Aptos" w:hAnsi="Aptos"/>
          <w:b/>
          <w:bCs/>
          <w:i w:val="false"/>
          <w:iCs w:val="false"/>
          <w:color w:val="20252A"/>
          <w:sz w:val="22"/>
          <w:szCs w:val="22"/>
          <w:lang w:val="es-CL"/>
        </w:rPr>
        <w:t xml:space="preserve">comida ordinaria y hospitalidad cristiana</w:t>
      </w:r>
      <w:r>
        <w:rPr>
          <w:rFonts w:ascii="Aptos" w:cs="Aptos" w:eastAsia="Aptos" w:hAnsi="Aptos"/>
          <w:b w:val="false"/>
          <w:bCs w:val="false"/>
          <w:i w:val="false"/>
          <w:iCs w:val="false"/>
          <w:color w:val="20252A"/>
          <w:sz w:val="22"/>
          <w:szCs w:val="22"/>
          <w:lang w:val="es-CL"/>
        </w:rPr>
        <w:t xml:space="preserve">, no la Cena del Señor.</w:t>
      </w:r>
    </w:p>
    <w:p>
      <w:pPr>
        <w:pStyle w:val="Heading2"/>
        <w:keepNext/>
        <w:spacing w:after="110" w:before="220"/>
      </w:pPr>
      <w:r>
        <w:t xml:space="preserve">C. El contexto decide el sentido</w:t>
      </w:r>
    </w:p>
    <w:p>
      <w:pPr>
        <w:keepNext w:val="false"/>
        <w:spacing w:after="120" w:before="0" w:line="288" w:lineRule="auto"/>
      </w:pPr>
      <w:r>
        <w:rPr>
          <w:rFonts w:ascii="Aptos" w:cs="Aptos" w:eastAsia="Aptos" w:hAnsi="Aptos"/>
          <w:b w:val="false"/>
          <w:bCs w:val="false"/>
          <w:i w:val="false"/>
          <w:iCs w:val="false"/>
          <w:color w:val="20252A"/>
          <w:sz w:val="22"/>
          <w:szCs w:val="22"/>
          <w:lang w:val="es-CL"/>
        </w:rPr>
        <w:t xml:space="preserve">La Biblioteca Berea resume correctamente el principio: la frase “partir el pan” puede referirse a una comida ordinaria o a la Cena del Señor; “el contexto en cada caso determina el sentido”. No es una fórmula técnica que conserve un único significado en todos los pasajes.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50"/>
        <w:gridCol w:w="2200"/>
        <w:gridCol w:w="2850"/>
        <w:gridCol w:w="2860"/>
      </w:tblGrid>
      <w:tr>
        <w:trPr>
          <w:tblHeader/>
        </w:trPr>
        <w:tc>
          <w:tcPr>
            <w:tcW w:type="dxa" w:w="1450"/>
            <w:shd w:fill="18324A" w:val="clear"/>
            <w:tcMar>
              <w:top w:type="dxa" w:w="90"/>
              <w:left w:type="dxa" w:w="90"/>
              <w:bottom w:type="dxa" w:w="90"/>
              <w:right w:type="dxa" w:w="90"/>
            </w:tcMar>
          </w:tcPr>
          <w:p>
            <w:pPr>
              <w:keepNext w:val="false"/>
              <w:spacing w:after="0" w:before="0" w:line="250" w:lineRule="auto"/>
            </w:pPr>
            <w:r>
              <w:rPr>
                <w:rFonts w:ascii="Aptos" w:cs="Aptos" w:eastAsia="Aptos" w:hAnsi="Aptos"/>
                <w:b/>
                <w:bCs/>
                <w:i w:val="false"/>
                <w:iCs w:val="false"/>
                <w:color w:val="FFFFFF"/>
                <w:sz w:val="22"/>
                <w:szCs w:val="22"/>
                <w:lang w:val="es-CL"/>
              </w:rPr>
              <w:t xml:space="preserve">Pasaje</w:t>
            </w:r>
          </w:p>
        </w:tc>
        <w:tc>
          <w:tcPr>
            <w:tcW w:type="dxa" w:w="2200"/>
            <w:shd w:fill="18324A" w:val="clear"/>
            <w:tcMar>
              <w:top w:type="dxa" w:w="90"/>
              <w:left w:type="dxa" w:w="90"/>
              <w:bottom w:type="dxa" w:w="90"/>
              <w:right w:type="dxa" w:w="90"/>
            </w:tcMar>
          </w:tcPr>
          <w:p>
            <w:pPr>
              <w:keepNext w:val="false"/>
              <w:spacing w:after="0" w:before="0" w:line="250" w:lineRule="auto"/>
            </w:pPr>
            <w:r>
              <w:rPr>
                <w:rFonts w:ascii="Aptos" w:cs="Aptos" w:eastAsia="Aptos" w:hAnsi="Aptos"/>
                <w:b/>
                <w:bCs/>
                <w:i w:val="false"/>
                <w:iCs w:val="false"/>
                <w:color w:val="FFFFFF"/>
                <w:sz w:val="22"/>
                <w:szCs w:val="22"/>
                <w:lang w:val="es-CL"/>
              </w:rPr>
              <w:t xml:space="preserve">Contexto</w:t>
            </w:r>
          </w:p>
        </w:tc>
        <w:tc>
          <w:tcPr>
            <w:tcW w:type="dxa" w:w="2850"/>
            <w:shd w:fill="18324A" w:val="clear"/>
            <w:tcMar>
              <w:top w:type="dxa" w:w="90"/>
              <w:left w:type="dxa" w:w="90"/>
              <w:bottom w:type="dxa" w:w="90"/>
              <w:right w:type="dxa" w:w="90"/>
            </w:tcMar>
          </w:tcPr>
          <w:p>
            <w:pPr>
              <w:keepNext w:val="false"/>
              <w:spacing w:after="0" w:before="0" w:line="250" w:lineRule="auto"/>
            </w:pPr>
            <w:r>
              <w:rPr>
                <w:rFonts w:ascii="Aptos" w:cs="Aptos" w:eastAsia="Aptos" w:hAnsi="Aptos"/>
                <w:b/>
                <w:bCs/>
                <w:i w:val="false"/>
                <w:iCs w:val="false"/>
                <w:color w:val="FFFFFF"/>
                <w:sz w:val="22"/>
                <w:szCs w:val="22"/>
                <w:lang w:val="es-CL"/>
              </w:rPr>
              <w:t xml:space="preserve">Descripción</w:t>
            </w:r>
          </w:p>
        </w:tc>
        <w:tc>
          <w:tcPr>
            <w:tcW w:type="dxa" w:w="2860"/>
            <w:shd w:fill="18324A" w:val="clear"/>
            <w:tcMar>
              <w:top w:type="dxa" w:w="90"/>
              <w:left w:type="dxa" w:w="90"/>
              <w:bottom w:type="dxa" w:w="90"/>
              <w:right w:type="dxa" w:w="90"/>
            </w:tcMar>
          </w:tcPr>
          <w:p>
            <w:pPr>
              <w:keepNext w:val="false"/>
              <w:spacing w:after="0" w:before="0" w:line="250" w:lineRule="auto"/>
            </w:pPr>
            <w:r>
              <w:rPr>
                <w:rFonts w:ascii="Aptos" w:cs="Aptos" w:eastAsia="Aptos" w:hAnsi="Aptos"/>
                <w:b/>
                <w:bCs/>
                <w:i w:val="false"/>
                <w:iCs w:val="false"/>
                <w:color w:val="FFFFFF"/>
                <w:sz w:val="22"/>
                <w:szCs w:val="22"/>
                <w:lang w:val="es-CL"/>
              </w:rPr>
              <w:t xml:space="preserve">Sentido</w:t>
            </w:r>
          </w:p>
        </w:tc>
      </w:tr>
      <w:tr>
        <w:tc>
          <w:tcPr>
            <w:tcW w:type="dxa" w:w="1450"/>
            <w:tcMar>
              <w:top w:type="dxa" w:w="90"/>
              <w:left w:type="dxa" w:w="90"/>
              <w:bottom w:type="dxa" w:w="90"/>
              <w:right w:type="dxa" w:w="90"/>
            </w:tcMar>
          </w:tcPr>
          <w:p>
            <w:pPr>
              <w:keepNext w:val="false"/>
              <w:spacing w:after="0" w:before="0" w:line="250" w:lineRule="auto"/>
            </w:pPr>
            <w:r>
              <w:rPr>
                <w:rFonts w:ascii="Aptos" w:cs="Aptos" w:eastAsia="Aptos" w:hAnsi="Aptos"/>
                <w:b w:val="false"/>
                <w:bCs w:val="false"/>
                <w:i w:val="false"/>
                <w:iCs w:val="false"/>
                <w:color w:val="20252A"/>
                <w:sz w:val="22"/>
                <w:szCs w:val="22"/>
                <w:lang w:val="es-CL"/>
              </w:rPr>
              <w:t xml:space="preserve">Hechos 2:42</w:t>
            </w:r>
          </w:p>
        </w:tc>
        <w:tc>
          <w:tcPr>
            <w:tcW w:type="dxa" w:w="2200"/>
            <w:tcMar>
              <w:top w:type="dxa" w:w="90"/>
              <w:left w:type="dxa" w:w="90"/>
              <w:bottom w:type="dxa" w:w="90"/>
              <w:right w:type="dxa" w:w="90"/>
            </w:tcMar>
          </w:tcPr>
          <w:p>
            <w:pPr>
              <w:keepNext w:val="false"/>
              <w:spacing w:after="0" w:before="0" w:line="250" w:lineRule="auto"/>
            </w:pPr>
            <w:r>
              <w:rPr>
                <w:rFonts w:ascii="Aptos" w:cs="Aptos" w:eastAsia="Aptos" w:hAnsi="Aptos"/>
                <w:b w:val="false"/>
                <w:bCs w:val="false"/>
                <w:i w:val="false"/>
                <w:iCs w:val="false"/>
                <w:color w:val="20252A"/>
                <w:sz w:val="22"/>
                <w:szCs w:val="22"/>
                <w:lang w:val="es-CL"/>
              </w:rPr>
              <w:t xml:space="preserve">Vida y adoración apostólica</w:t>
            </w:r>
          </w:p>
        </w:tc>
        <w:tc>
          <w:tcPr>
            <w:tcW w:type="dxa" w:w="2850"/>
            <w:tcMar>
              <w:top w:type="dxa" w:w="90"/>
              <w:left w:type="dxa" w:w="90"/>
              <w:bottom w:type="dxa" w:w="90"/>
              <w:right w:type="dxa" w:w="90"/>
            </w:tcMar>
          </w:tcPr>
          <w:p>
            <w:pPr>
              <w:keepNext w:val="false"/>
              <w:spacing w:after="0" w:before="0" w:line="250" w:lineRule="auto"/>
            </w:pPr>
            <w:r>
              <w:rPr>
                <w:rFonts w:ascii="Aptos" w:cs="Aptos" w:eastAsia="Aptos" w:hAnsi="Aptos"/>
                <w:b w:val="false"/>
                <w:bCs w:val="false"/>
                <w:i w:val="false"/>
                <w:iCs w:val="false"/>
                <w:color w:val="20252A"/>
                <w:sz w:val="22"/>
                <w:szCs w:val="22"/>
                <w:lang w:val="es-CL"/>
              </w:rPr>
              <w:t xml:space="preserve">“El partimiento del pan” aparece con doctrina, comunión y oraciones.</w:t>
            </w:r>
          </w:p>
        </w:tc>
        <w:tc>
          <w:tcPr>
            <w:tcW w:type="dxa" w:w="2860"/>
            <w:tcMar>
              <w:top w:type="dxa" w:w="90"/>
              <w:left w:type="dxa" w:w="90"/>
              <w:bottom w:type="dxa" w:w="90"/>
              <w:right w:type="dxa" w:w="90"/>
            </w:tcMar>
          </w:tcPr>
          <w:p>
            <w:pPr>
              <w:keepNext w:val="false"/>
              <w:spacing w:after="0" w:before="0" w:line="250" w:lineRule="auto"/>
            </w:pPr>
            <w:r>
              <w:rPr>
                <w:rFonts w:ascii="Aptos" w:cs="Aptos" w:eastAsia="Aptos" w:hAnsi="Aptos"/>
                <w:b w:val="false"/>
                <w:bCs w:val="false"/>
                <w:i w:val="false"/>
                <w:iCs w:val="false"/>
                <w:color w:val="20252A"/>
                <w:sz w:val="22"/>
                <w:szCs w:val="22"/>
                <w:lang w:val="es-CL"/>
              </w:rPr>
              <w:t xml:space="preserve">La Cena del Señor.</w:t>
            </w:r>
          </w:p>
        </w:tc>
      </w:tr>
      <w:tr>
        <w:tc>
          <w:tcPr>
            <w:tcW w:type="dxa" w:w="1450"/>
            <w:tcMar>
              <w:top w:type="dxa" w:w="90"/>
              <w:left w:type="dxa" w:w="90"/>
              <w:bottom w:type="dxa" w:w="90"/>
              <w:right w:type="dxa" w:w="90"/>
            </w:tcMar>
          </w:tcPr>
          <w:p>
            <w:pPr>
              <w:keepNext w:val="false"/>
              <w:spacing w:after="0" w:before="0" w:line="250" w:lineRule="auto"/>
            </w:pPr>
            <w:r>
              <w:rPr>
                <w:rFonts w:ascii="Aptos" w:cs="Aptos" w:eastAsia="Aptos" w:hAnsi="Aptos"/>
                <w:b w:val="false"/>
                <w:bCs w:val="false"/>
                <w:i w:val="false"/>
                <w:iCs w:val="false"/>
                <w:color w:val="20252A"/>
                <w:sz w:val="22"/>
                <w:szCs w:val="22"/>
                <w:lang w:val="es-CL"/>
              </w:rPr>
              <w:t xml:space="preserve">Hechos 2:46</w:t>
            </w:r>
          </w:p>
        </w:tc>
        <w:tc>
          <w:tcPr>
            <w:tcW w:type="dxa" w:w="2200"/>
            <w:tcMar>
              <w:top w:type="dxa" w:w="90"/>
              <w:left w:type="dxa" w:w="90"/>
              <w:bottom w:type="dxa" w:w="90"/>
              <w:right w:type="dxa" w:w="90"/>
            </w:tcMar>
          </w:tcPr>
          <w:p>
            <w:pPr>
              <w:keepNext w:val="false"/>
              <w:spacing w:after="0" w:before="0" w:line="250" w:lineRule="auto"/>
            </w:pPr>
            <w:r>
              <w:rPr>
                <w:rFonts w:ascii="Aptos" w:cs="Aptos" w:eastAsia="Aptos" w:hAnsi="Aptos"/>
                <w:b w:val="false"/>
                <w:bCs w:val="false"/>
                <w:i w:val="false"/>
                <w:iCs w:val="false"/>
                <w:color w:val="20252A"/>
                <w:sz w:val="22"/>
                <w:szCs w:val="22"/>
                <w:lang w:val="es-CL"/>
              </w:rPr>
              <w:t xml:space="preserve">Casas; actividad diaria</w:t>
            </w:r>
          </w:p>
        </w:tc>
        <w:tc>
          <w:tcPr>
            <w:tcW w:type="dxa" w:w="2850"/>
            <w:tcMar>
              <w:top w:type="dxa" w:w="90"/>
              <w:left w:type="dxa" w:w="90"/>
              <w:bottom w:type="dxa" w:w="90"/>
              <w:right w:type="dxa" w:w="90"/>
            </w:tcMar>
          </w:tcPr>
          <w:p>
            <w:pPr>
              <w:keepNext w:val="false"/>
              <w:spacing w:after="0" w:before="0" w:line="250" w:lineRule="auto"/>
            </w:pPr>
            <w:r>
              <w:rPr>
                <w:rFonts w:ascii="Aptos" w:cs="Aptos" w:eastAsia="Aptos" w:hAnsi="Aptos"/>
                <w:b w:val="false"/>
                <w:bCs w:val="false"/>
                <w:i w:val="false"/>
                <w:iCs w:val="false"/>
                <w:color w:val="20252A"/>
                <w:sz w:val="22"/>
                <w:szCs w:val="22"/>
                <w:lang w:val="es-CL"/>
              </w:rPr>
              <w:t xml:space="preserve">Partían pan y participaban de alimentos con alegría.</w:t>
            </w:r>
          </w:p>
        </w:tc>
        <w:tc>
          <w:tcPr>
            <w:tcW w:type="dxa" w:w="2860"/>
            <w:tcMar>
              <w:top w:type="dxa" w:w="90"/>
              <w:left w:type="dxa" w:w="90"/>
              <w:bottom w:type="dxa" w:w="90"/>
              <w:right w:type="dxa" w:w="90"/>
            </w:tcMar>
          </w:tcPr>
          <w:p>
            <w:pPr>
              <w:keepNext w:val="false"/>
              <w:spacing w:after="0" w:before="0" w:line="250" w:lineRule="auto"/>
            </w:pPr>
            <w:r>
              <w:rPr>
                <w:rFonts w:ascii="Aptos" w:cs="Aptos" w:eastAsia="Aptos" w:hAnsi="Aptos"/>
                <w:b w:val="false"/>
                <w:bCs w:val="false"/>
                <w:i w:val="false"/>
                <w:iCs w:val="false"/>
                <w:color w:val="20252A"/>
                <w:sz w:val="22"/>
                <w:szCs w:val="22"/>
                <w:lang w:val="es-CL"/>
              </w:rPr>
              <w:t xml:space="preserve">Comida ordinaria y hospitalidad.</w:t>
            </w:r>
          </w:p>
        </w:tc>
      </w:tr>
      <w:tr>
        <w:tc>
          <w:tcPr>
            <w:tcW w:type="dxa" w:w="1450"/>
            <w:tcMar>
              <w:top w:type="dxa" w:w="90"/>
              <w:left w:type="dxa" w:w="90"/>
              <w:bottom w:type="dxa" w:w="90"/>
              <w:right w:type="dxa" w:w="90"/>
            </w:tcMar>
          </w:tcPr>
          <w:p>
            <w:pPr>
              <w:keepNext w:val="false"/>
              <w:spacing w:after="0" w:before="0" w:line="250" w:lineRule="auto"/>
            </w:pPr>
            <w:r>
              <w:rPr>
                <w:rFonts w:ascii="Aptos" w:cs="Aptos" w:eastAsia="Aptos" w:hAnsi="Aptos"/>
                <w:b w:val="false"/>
                <w:bCs w:val="false"/>
                <w:i w:val="false"/>
                <w:iCs w:val="false"/>
                <w:color w:val="20252A"/>
                <w:sz w:val="22"/>
                <w:szCs w:val="22"/>
                <w:lang w:val="es-CL"/>
              </w:rPr>
              <w:t xml:space="preserve">Hechos 20:7</w:t>
            </w:r>
          </w:p>
        </w:tc>
        <w:tc>
          <w:tcPr>
            <w:tcW w:type="dxa" w:w="2200"/>
            <w:tcMar>
              <w:top w:type="dxa" w:w="90"/>
              <w:left w:type="dxa" w:w="90"/>
              <w:bottom w:type="dxa" w:w="90"/>
              <w:right w:type="dxa" w:w="90"/>
            </w:tcMar>
          </w:tcPr>
          <w:p>
            <w:pPr>
              <w:keepNext w:val="false"/>
              <w:spacing w:after="0" w:before="0" w:line="250" w:lineRule="auto"/>
            </w:pPr>
            <w:r>
              <w:rPr>
                <w:rFonts w:ascii="Aptos" w:cs="Aptos" w:eastAsia="Aptos" w:hAnsi="Aptos"/>
                <w:b w:val="false"/>
                <w:bCs w:val="false"/>
                <w:i w:val="false"/>
                <w:iCs w:val="false"/>
                <w:color w:val="20252A"/>
                <w:sz w:val="22"/>
                <w:szCs w:val="22"/>
                <w:lang w:val="es-CL"/>
              </w:rPr>
              <w:t xml:space="preserve">Asamblea del primer día</w:t>
            </w:r>
          </w:p>
        </w:tc>
        <w:tc>
          <w:tcPr>
            <w:tcW w:type="dxa" w:w="2850"/>
            <w:tcMar>
              <w:top w:type="dxa" w:w="90"/>
              <w:left w:type="dxa" w:w="90"/>
              <w:bottom w:type="dxa" w:w="90"/>
              <w:right w:type="dxa" w:w="90"/>
            </w:tcMar>
          </w:tcPr>
          <w:p>
            <w:pPr>
              <w:keepNext w:val="false"/>
              <w:spacing w:after="0" w:before="0" w:line="250" w:lineRule="auto"/>
            </w:pPr>
            <w:r>
              <w:rPr>
                <w:rFonts w:ascii="Aptos" w:cs="Aptos" w:eastAsia="Aptos" w:hAnsi="Aptos"/>
                <w:b w:val="false"/>
                <w:bCs w:val="false"/>
                <w:i w:val="false"/>
                <w:iCs w:val="false"/>
                <w:color w:val="20252A"/>
                <w:sz w:val="22"/>
                <w:szCs w:val="22"/>
                <w:lang w:val="es-CL"/>
              </w:rPr>
              <w:t xml:space="preserve">Los discípulos se reunieron con el propósito de partir el pan.</w:t>
            </w:r>
          </w:p>
        </w:tc>
        <w:tc>
          <w:tcPr>
            <w:tcW w:type="dxa" w:w="2860"/>
            <w:tcMar>
              <w:top w:type="dxa" w:w="90"/>
              <w:left w:type="dxa" w:w="90"/>
              <w:bottom w:type="dxa" w:w="90"/>
              <w:right w:type="dxa" w:w="90"/>
            </w:tcMar>
          </w:tcPr>
          <w:p>
            <w:pPr>
              <w:keepNext w:val="false"/>
              <w:spacing w:after="0" w:before="0" w:line="250" w:lineRule="auto"/>
            </w:pPr>
            <w:r>
              <w:rPr>
                <w:rFonts w:ascii="Aptos" w:cs="Aptos" w:eastAsia="Aptos" w:hAnsi="Aptos"/>
                <w:b w:val="false"/>
                <w:bCs w:val="false"/>
                <w:i w:val="false"/>
                <w:iCs w:val="false"/>
                <w:color w:val="20252A"/>
                <w:sz w:val="22"/>
                <w:szCs w:val="22"/>
                <w:lang w:val="es-CL"/>
              </w:rPr>
              <w:t xml:space="preserve">La Cena del Señor.</w:t>
            </w:r>
          </w:p>
        </w:tc>
      </w:tr>
      <w:tr>
        <w:tc>
          <w:tcPr>
            <w:tcW w:type="dxa" w:w="1450"/>
            <w:tcMar>
              <w:top w:type="dxa" w:w="90"/>
              <w:left w:type="dxa" w:w="90"/>
              <w:bottom w:type="dxa" w:w="90"/>
              <w:right w:type="dxa" w:w="90"/>
            </w:tcMar>
          </w:tcPr>
          <w:p>
            <w:pPr>
              <w:keepNext w:val="false"/>
              <w:spacing w:after="0" w:before="0" w:line="250" w:lineRule="auto"/>
            </w:pPr>
            <w:r>
              <w:rPr>
                <w:rFonts w:ascii="Aptos" w:cs="Aptos" w:eastAsia="Aptos" w:hAnsi="Aptos"/>
                <w:b w:val="false"/>
                <w:bCs w:val="false"/>
                <w:i w:val="false"/>
                <w:iCs w:val="false"/>
                <w:color w:val="20252A"/>
                <w:sz w:val="22"/>
                <w:szCs w:val="22"/>
                <w:lang w:val="es-CL"/>
              </w:rPr>
              <w:t xml:space="preserve">Hechos 20:11</w:t>
            </w:r>
          </w:p>
        </w:tc>
        <w:tc>
          <w:tcPr>
            <w:tcW w:type="dxa" w:w="2200"/>
            <w:tcMar>
              <w:top w:type="dxa" w:w="90"/>
              <w:left w:type="dxa" w:w="90"/>
              <w:bottom w:type="dxa" w:w="90"/>
              <w:right w:type="dxa" w:w="90"/>
            </w:tcMar>
          </w:tcPr>
          <w:p>
            <w:pPr>
              <w:keepNext w:val="false"/>
              <w:spacing w:after="0" w:before="0" w:line="250" w:lineRule="auto"/>
            </w:pPr>
            <w:r>
              <w:rPr>
                <w:rFonts w:ascii="Aptos" w:cs="Aptos" w:eastAsia="Aptos" w:hAnsi="Aptos"/>
                <w:b w:val="false"/>
                <w:bCs w:val="false"/>
                <w:i w:val="false"/>
                <w:iCs w:val="false"/>
                <w:color w:val="20252A"/>
                <w:sz w:val="22"/>
                <w:szCs w:val="22"/>
                <w:lang w:val="es-CL"/>
              </w:rPr>
              <w:t xml:space="preserve">Después de medianoche</w:t>
            </w:r>
          </w:p>
        </w:tc>
        <w:tc>
          <w:tcPr>
            <w:tcW w:type="dxa" w:w="2850"/>
            <w:tcMar>
              <w:top w:type="dxa" w:w="90"/>
              <w:left w:type="dxa" w:w="90"/>
              <w:bottom w:type="dxa" w:w="90"/>
              <w:right w:type="dxa" w:w="90"/>
            </w:tcMar>
          </w:tcPr>
          <w:p>
            <w:pPr>
              <w:keepNext w:val="false"/>
              <w:spacing w:after="0" w:before="0" w:line="250" w:lineRule="auto"/>
            </w:pPr>
            <w:r>
              <w:rPr>
                <w:rFonts w:ascii="Aptos" w:cs="Aptos" w:eastAsia="Aptos" w:hAnsi="Aptos"/>
                <w:b w:val="false"/>
                <w:bCs w:val="false"/>
                <w:i w:val="false"/>
                <w:iCs w:val="false"/>
                <w:color w:val="20252A"/>
                <w:sz w:val="22"/>
                <w:szCs w:val="22"/>
                <w:lang w:val="es-CL"/>
              </w:rPr>
              <w:t xml:space="preserve">Pablo partió el pan, comió y siguió hablando.</w:t>
            </w:r>
          </w:p>
        </w:tc>
        <w:tc>
          <w:tcPr>
            <w:tcW w:type="dxa" w:w="2860"/>
            <w:tcMar>
              <w:top w:type="dxa" w:w="90"/>
              <w:left w:type="dxa" w:w="90"/>
              <w:bottom w:type="dxa" w:w="90"/>
              <w:right w:type="dxa" w:w="90"/>
            </w:tcMar>
          </w:tcPr>
          <w:p>
            <w:pPr>
              <w:keepNext w:val="false"/>
              <w:spacing w:after="0" w:before="0" w:line="250" w:lineRule="auto"/>
            </w:pPr>
            <w:r>
              <w:rPr>
                <w:rFonts w:ascii="Aptos" w:cs="Aptos" w:eastAsia="Aptos" w:hAnsi="Aptos"/>
                <w:b w:val="false"/>
                <w:bCs w:val="false"/>
                <w:i w:val="false"/>
                <w:iCs w:val="false"/>
                <w:color w:val="20252A"/>
                <w:sz w:val="22"/>
                <w:szCs w:val="22"/>
                <w:lang w:val="es-CL"/>
              </w:rPr>
              <w:t xml:space="preserve">Alimento ordinario.</w:t>
            </w:r>
          </w:p>
        </w:tc>
      </w:tr>
    </w:tbl>
    <w:p>
      <w:pPr>
        <w:pStyle w:val="Heading1"/>
        <w:keepNext/>
        <w:spacing w:after="110" w:before="300"/>
      </w:pPr>
      <w:r>
        <w:t xml:space="preserve">III. Los ágapes no son la Cena del Señor</w:t>
      </w:r>
    </w:p>
    <w:p>
      <w:pPr>
        <w:pStyle w:val="Heading2"/>
        <w:keepNext/>
        <w:spacing w:after="110" w:before="220"/>
      </w:pPr>
      <w:r>
        <w:t xml:space="preserve">A. Judas 12 no identifica el ágape con la Cena</w:t>
      </w:r>
    </w:p>
    <w:p>
      <w:pPr>
        <w:keepNext w:val="false"/>
        <w:spacing w:after="120" w:before="0" w:line="288" w:lineRule="auto"/>
      </w:pPr>
      <w:r>
        <w:rPr>
          <w:rFonts w:ascii="Aptos" w:cs="Aptos" w:eastAsia="Aptos" w:hAnsi="Aptos"/>
          <w:b w:val="false"/>
          <w:bCs w:val="false"/>
          <w:i w:val="false"/>
          <w:iCs w:val="false"/>
          <w:color w:val="20252A"/>
          <w:sz w:val="22"/>
          <w:szCs w:val="22"/>
          <w:lang w:val="es-CL"/>
        </w:rPr>
        <w:t xml:space="preserve">Judas menciona “ágapes” o comidas de amor. Sin embargo, no menciona el pan y la copa, no los llama “la Cena del Señor” y no ordena que la iglesia celebre el memorial dentro de esas comidas. Afirmar que la Cena estaba contenida en el ágape añade al pasaje algo que Judas no dice.</w:t>
      </w:r>
    </w:p>
    <w:p>
      <w:pPr>
        <w:pStyle w:val="Heading2"/>
        <w:keepNext/>
        <w:spacing w:after="110" w:before="220"/>
      </w:pPr>
      <w:r>
        <w:t xml:space="preserve">B. Una práctica social no se convierte en acto de adoración</w:t>
      </w:r>
    </w:p>
    <w:p>
      <w:pPr>
        <w:keepNext w:val="false"/>
        <w:spacing w:after="120" w:before="0" w:line="288" w:lineRule="auto"/>
      </w:pPr>
      <w:r>
        <w:rPr>
          <w:rFonts w:ascii="Aptos" w:cs="Aptos" w:eastAsia="Aptos" w:hAnsi="Aptos"/>
          <w:b w:val="false"/>
          <w:bCs w:val="false"/>
          <w:i w:val="false"/>
          <w:iCs w:val="false"/>
          <w:color w:val="20252A"/>
          <w:sz w:val="22"/>
          <w:szCs w:val="22"/>
          <w:lang w:val="es-CL"/>
        </w:rPr>
        <w:t xml:space="preserve">Los cristianos pueden mostrar amor mediante hospitalidad y comidas compartidas. Hechos 2:46 presenta un hermoso ejemplo de ello. Pero una actividad buena en la casa no queda por eso autorizada como obra colectiva de la iglesia reunida para adorar.</w:t>
      </w:r>
    </w:p>
    <w:p>
      <w:pPr>
        <w:keepNext w:val="false"/>
        <w:spacing w:after="120" w:before="0" w:line="288" w:lineRule="auto"/>
      </w:pPr>
      <w:r>
        <w:rPr>
          <w:rFonts w:ascii="Aptos" w:cs="Aptos" w:eastAsia="Aptos" w:hAnsi="Aptos"/>
          <w:b w:val="false"/>
          <w:bCs w:val="false"/>
          <w:i w:val="false"/>
          <w:iCs w:val="false"/>
          <w:color w:val="20252A"/>
          <w:sz w:val="22"/>
          <w:szCs w:val="22"/>
          <w:lang w:val="es-CL"/>
        </w:rPr>
        <w:t xml:space="preserve">Es necesario distinguir entre lo que los cristianos hacen como individuos y lo que la congregación hace como iglesia. Confundir ambas esferas convierte un ejemplo de hospitalidad en una supuesta ordenanza congregacional.</w:t>
      </w:r>
    </w:p>
    <w:p>
      <w:pPr>
        <w:pStyle w:val="Heading2"/>
        <w:keepNext/>
        <w:spacing w:after="110" w:before="220"/>
      </w:pPr>
      <w:r>
        <w:t xml:space="preserve">C. La Pascua no fue un ágape cristiano</w:t>
      </w:r>
    </w:p>
    <w:p>
      <w:pPr>
        <w:keepNext w:val="false"/>
        <w:spacing w:after="120" w:before="0" w:line="288" w:lineRule="auto"/>
      </w:pPr>
      <w:r>
        <w:rPr>
          <w:rFonts w:ascii="Aptos" w:cs="Aptos" w:eastAsia="Aptos" w:hAnsi="Aptos"/>
          <w:b w:val="false"/>
          <w:bCs w:val="false"/>
          <w:i w:val="false"/>
          <w:iCs w:val="false"/>
          <w:color w:val="20252A"/>
          <w:sz w:val="22"/>
          <w:szCs w:val="22"/>
          <w:lang w:val="es-CL"/>
        </w:rPr>
        <w:t xml:space="preserve">Jesús no reunió a los discípulos para una comida social sin forma definida. Celebró la Pascua ordenada bajo la ley de Moisés. Al concluirla, instituyó su Cena. La presencia de comida pascual aquella noche no autoriza a sustituirla con una comida social preparada por los hombres.</w:t>
      </w:r>
    </w:p>
    <w:p>
      <w:pPr>
        <w:pStyle w:val="Heading1"/>
        <w:keepNext/>
        <w:spacing w:after="110" w:before="300"/>
      </w:pPr>
      <w:r>
        <w:t xml:space="preserve">IV. Primera a los Corintios 11 corrige la mezcla, no la autoriza</w:t>
      </w:r>
    </w:p>
    <w:p>
      <w:pPr>
        <w:pStyle w:val="Heading2"/>
        <w:keepNext/>
        <w:spacing w:after="110" w:before="220"/>
      </w:pPr>
      <w:r>
        <w:t xml:space="preserve">A. “Su propia cena” no era “la Cena del Señor”</w:t>
      </w:r>
    </w:p>
    <w:p>
      <w:pPr>
        <w:keepNext w:val="false"/>
        <w:spacing w:after="120" w:before="0" w:line="288" w:lineRule="auto"/>
      </w:pPr>
      <w:r>
        <w:rPr>
          <w:rFonts w:ascii="Aptos" w:cs="Aptos" w:eastAsia="Aptos" w:hAnsi="Aptos"/>
          <w:b w:val="false"/>
          <w:bCs w:val="false"/>
          <w:i w:val="false"/>
          <w:iCs w:val="false"/>
          <w:color w:val="20252A"/>
          <w:sz w:val="22"/>
          <w:szCs w:val="22"/>
          <w:lang w:val="es-CL"/>
        </w:rPr>
        <w:t xml:space="preserve">Pablo declara que, por la manera en que los corintios se reunían, aquello no era comer la Cena del Señor. Cada uno se adelantaba a tomar su propia comida; unos quedaban con hambre y otros se excedían. La conducta de ellos contradecía el carácter del memorial.</w:t>
      </w:r>
    </w:p>
    <w:p>
      <w:pPr>
        <w:keepNext w:val="false"/>
        <w:spacing w:after="120" w:before="0" w:line="288" w:lineRule="auto"/>
      </w:pPr>
      <w:r>
        <w:rPr>
          <w:rFonts w:ascii="Aptos" w:cs="Aptos" w:eastAsia="Aptos" w:hAnsi="Aptos"/>
          <w:b w:val="false"/>
          <w:bCs w:val="false"/>
          <w:i w:val="false"/>
          <w:iCs w:val="false"/>
          <w:color w:val="20252A"/>
          <w:sz w:val="22"/>
          <w:szCs w:val="22"/>
          <w:lang w:val="es-CL"/>
        </w:rPr>
        <w:t xml:space="preserve">El contraste del capítulo es preciso: una cosa era la Cena que pertenecía al Señor; otra, la cena propia con la que algunos satisfacían su apetito y humillaban a quienes no tenían.</w:t>
      </w:r>
    </w:p>
    <w:p>
      <w:pPr>
        <w:pStyle w:val="Heading2"/>
        <w:keepNext/>
        <w:spacing w:after="110" w:before="220"/>
      </w:pPr>
      <w:r>
        <w:t xml:space="preserve">B. Para el hambre física hay casas</w:t>
      </w:r>
    </w:p>
    <w:p>
      <w:pPr>
        <w:keepNext w:val="false"/>
        <w:spacing w:after="120" w:before="0" w:line="288" w:lineRule="auto"/>
      </w:pPr>
      <w:r>
        <w:rPr>
          <w:rFonts w:ascii="Aptos" w:cs="Aptos" w:eastAsia="Aptos" w:hAnsi="Aptos"/>
          <w:b w:val="false"/>
          <w:bCs w:val="false"/>
          <w:i w:val="false"/>
          <w:iCs w:val="false"/>
          <w:color w:val="20252A"/>
          <w:sz w:val="22"/>
          <w:szCs w:val="22"/>
          <w:lang w:val="es-CL"/>
        </w:rPr>
        <w:t xml:space="preserve">La pregunta apostólica —si no tenían casas en las cuales comer y beber— establece la separación. El alimento para satisfacer el hambre pertenece a la esfera doméstica. La reunión de la iglesia no debía convertirse en un banquete social.</w:t>
      </w:r>
    </w:p>
    <w:p>
      <w:pPr>
        <w:keepNext w:val="false"/>
        <w:spacing w:after="120" w:before="0" w:line="288" w:lineRule="auto"/>
      </w:pPr>
      <w:r>
        <w:rPr>
          <w:rFonts w:ascii="Aptos" w:cs="Aptos" w:eastAsia="Aptos" w:hAnsi="Aptos"/>
          <w:b w:val="false"/>
          <w:bCs w:val="false"/>
          <w:i w:val="false"/>
          <w:iCs w:val="false"/>
          <w:color w:val="20252A"/>
          <w:sz w:val="22"/>
          <w:szCs w:val="22"/>
          <w:lang w:val="es-CL"/>
        </w:rPr>
        <w:t xml:space="preserve">La misma distinción aparece al final del capítulo: quien tenga hambre debe comer en casa. Pablo no regula un ágape para que continúe dentro de la reunión; retira de la asamblea el comer destinado a satisfacer el hambre.</w:t>
      </w:r>
    </w:p>
    <w:p>
      <w:pPr>
        <w:pStyle w:val="Heading2"/>
        <w:keepNext/>
        <w:spacing w:after="110" w:before="220"/>
      </w:pPr>
      <w:r>
        <w:t xml:space="preserve">C. “Esperaos unos a otros” no manda celebrar un ágape</w:t>
      </w:r>
    </w:p>
    <w:p>
      <w:pPr>
        <w:keepNext w:val="false"/>
        <w:spacing w:after="120" w:before="0" w:line="288" w:lineRule="auto"/>
      </w:pPr>
      <w:r>
        <w:rPr>
          <w:rFonts w:ascii="Aptos" w:cs="Aptos" w:eastAsia="Aptos" w:hAnsi="Aptos"/>
          <w:b w:val="false"/>
          <w:bCs w:val="false"/>
          <w:i w:val="false"/>
          <w:iCs w:val="false"/>
          <w:color w:val="20252A"/>
          <w:sz w:val="22"/>
          <w:szCs w:val="22"/>
          <w:lang w:val="es-CL"/>
        </w:rPr>
        <w:t xml:space="preserve">La exhortación a esperarse unos a otros debe leerse dentro del argumento de 1 Corintios 11:23–34. El tema inmediato es comer correctamente la Cena del Señor. No hay en el pasaje una orden para comenzar una comida común, insertar en ella el pan y la copa y luego continuar comiendo.</w:t>
      </w:r>
    </w:p>
    <w:tbl>
      <w:tblPr>
        <w:tblW w:type="dxa" w:w="9360"/>
        <w:tblBorders>
          <w:top w:val="single" w:color="auto" w:sz="4"/>
          <w:left w:val="single" w:color="auto" w:sz="4"/>
          <w:bottom w:val="single" w:color="auto" w:sz="4"/>
          <w:right w:val="single" w:color="auto" w:sz="4"/>
          <w:insideH w:val="single" w:color="auto" w:sz="4"/>
          <w:insideV w:val="single" w:color="auto" w:sz="4"/>
        </w:tblBorders>
        <w:tblCellMar>
          <w:top w:type="dxa" w:w="130"/>
          <w:left w:type="dxa" w:w="180"/>
          <w:bottom w:type="dxa" w:w="130"/>
          <w:right w:type="dxa" w:w="180"/>
        </w:tblCellMar>
      </w:tblPr>
      <w:tblGrid>
        <w:gridCol w:w="9360"/>
      </w:tblGrid>
      <w:tr>
        <w:tc>
          <w:tcPr>
            <w:tcW w:type="dxa" w:w="9360"/>
            <w:tcBorders>
              <w:top w:val="single" w:color="2D5D7B" w:sz="10"/>
              <w:left w:val="single" w:color="2D5D7B" w:sz="18"/>
              <w:bottom w:val="single" w:color="2D5D7B" w:sz="10"/>
              <w:right w:val="single" w:color="2D5D7B" w:sz="10"/>
            </w:tcBorders>
            <w:shd w:fill="EAF2F7" w:val="clear"/>
          </w:tcPr>
          <w:p>
            <w:pPr>
              <w:keepNext w:val="false"/>
              <w:spacing w:after="55" w:before="0" w:line="288" w:lineRule="auto"/>
            </w:pPr>
            <w:r>
              <w:rPr>
                <w:rFonts w:ascii="Aptos" w:cs="Aptos" w:eastAsia="Aptos" w:hAnsi="Aptos"/>
                <w:b/>
                <w:bCs/>
                <w:i w:val="false"/>
                <w:iCs w:val="false"/>
                <w:color w:val="18324A"/>
                <w:sz w:val="22"/>
                <w:szCs w:val="22"/>
                <w:lang w:val="es-CL"/>
              </w:rPr>
              <w:t xml:space="preserve">El error de Corinto</w:t>
            </w:r>
          </w:p>
          <w:p>
            <w:pPr>
              <w:keepNext w:val="false"/>
              <w:spacing w:after="0" w:before="0" w:line="288" w:lineRule="auto"/>
            </w:pPr>
            <w:r>
              <w:rPr>
                <w:rFonts w:ascii="Aptos" w:cs="Aptos" w:eastAsia="Aptos" w:hAnsi="Aptos"/>
                <w:b w:val="false"/>
                <w:bCs w:val="false"/>
                <w:i w:val="false"/>
                <w:iCs w:val="false"/>
                <w:color w:val="20252A"/>
                <w:sz w:val="22"/>
                <w:szCs w:val="22"/>
                <w:lang w:val="es-CL"/>
              </w:rPr>
              <w:t xml:space="preserve">La comida común no era el marco autorizado de la Cena; era parte del desorden que había desfigurado el memorial. La solución apostólica fue recuperar la Cena recibida del Señor y dejar el comer por hambre para las casas.</w:t>
            </w:r>
          </w:p>
        </w:tc>
      </w:tr>
    </w:tbl>
    <w:p>
      <w:pPr>
        <w:pStyle w:val="Heading1"/>
        <w:keepNext/>
        <w:spacing w:after="110" w:before="300"/>
      </w:pPr>
      <w:r>
        <w:t xml:space="preserve">V. La Cena exige memoria, proclamación y discernimiento</w:t>
      </w:r>
    </w:p>
    <w:p>
      <w:pPr>
        <w:pStyle w:val="Heading2"/>
        <w:keepNext/>
        <w:spacing w:after="110" w:before="220"/>
      </w:pPr>
      <w:r>
        <w:t xml:space="preserve">A. Miramos hacia atrás</w:t>
      </w:r>
    </w:p>
    <w:p>
      <w:pPr>
        <w:keepNext w:val="false"/>
        <w:spacing w:after="120" w:before="0" w:line="288" w:lineRule="auto"/>
      </w:pPr>
      <w:r>
        <w:rPr>
          <w:rFonts w:ascii="Aptos" w:cs="Aptos" w:eastAsia="Aptos" w:hAnsi="Aptos"/>
          <w:b w:val="false"/>
          <w:bCs w:val="false"/>
          <w:i w:val="false"/>
          <w:iCs w:val="false"/>
          <w:color w:val="20252A"/>
          <w:sz w:val="22"/>
          <w:szCs w:val="22"/>
          <w:lang w:val="es-CL"/>
        </w:rPr>
        <w:t xml:space="preserve">El pan y la copa dirigen la mente al cuerpo entregado y a la sangre del nuevo pacto. La Cena no es entretenimiento ni alimento común. Es memoria consciente del sacrificio de Cristo.</w:t>
      </w:r>
    </w:p>
    <w:p>
      <w:pPr>
        <w:pStyle w:val="Heading2"/>
        <w:keepNext/>
        <w:spacing w:after="110" w:before="220"/>
      </w:pPr>
      <w:r>
        <w:t xml:space="preserve">B. Proclamamos en el presente</w:t>
      </w:r>
    </w:p>
    <w:p>
      <w:pPr>
        <w:keepNext w:val="false"/>
        <w:spacing w:after="120" w:before="0" w:line="288" w:lineRule="auto"/>
      </w:pPr>
      <w:r>
        <w:rPr>
          <w:rFonts w:ascii="Aptos" w:cs="Aptos" w:eastAsia="Aptos" w:hAnsi="Aptos"/>
          <w:b w:val="false"/>
          <w:bCs w:val="false"/>
          <w:i w:val="false"/>
          <w:iCs w:val="false"/>
          <w:color w:val="20252A"/>
          <w:sz w:val="22"/>
          <w:szCs w:val="22"/>
          <w:lang w:val="es-CL"/>
        </w:rPr>
        <w:t xml:space="preserve">Cada observancia anuncia la muerte del Señor. La iglesia predica mediante los elementos que Cristo escogió. Añadir un banquete social oscurece esa proclamación y desplaza el centro desde la cruz hacia el apetito humano.</w:t>
      </w:r>
    </w:p>
    <w:p>
      <w:pPr>
        <w:pStyle w:val="Heading2"/>
        <w:keepNext/>
        <w:spacing w:after="110" w:before="220"/>
      </w:pPr>
      <w:r>
        <w:t xml:space="preserve">C. Nos examinamos</w:t>
      </w:r>
    </w:p>
    <w:p>
      <w:pPr>
        <w:keepNext w:val="false"/>
        <w:spacing w:after="120" w:before="0" w:line="288" w:lineRule="auto"/>
      </w:pPr>
      <w:r>
        <w:rPr>
          <w:rFonts w:ascii="Aptos" w:cs="Aptos" w:eastAsia="Aptos" w:hAnsi="Aptos"/>
          <w:b w:val="false"/>
          <w:bCs w:val="false"/>
          <w:i w:val="false"/>
          <w:iCs w:val="false"/>
          <w:color w:val="20252A"/>
          <w:sz w:val="22"/>
          <w:szCs w:val="22"/>
          <w:lang w:val="es-CL"/>
        </w:rPr>
        <w:t xml:space="preserve">El examen personal no significa que solamente los perfectos pueden participar. Significa que cada cristiano debe acercarse con reverencia, arrepentimiento y discernimiento, sin tratar el cuerpo y la sangre del Señor como algo común.</w:t>
      </w:r>
    </w:p>
    <w:p>
      <w:pPr>
        <w:pStyle w:val="Heading2"/>
        <w:keepNext/>
        <w:spacing w:after="110" w:before="220"/>
      </w:pPr>
      <w:r>
        <w:t xml:space="preserve">D. Miramos hacia adelante</w:t>
      </w:r>
    </w:p>
    <w:p>
      <w:pPr>
        <w:keepNext w:val="false"/>
        <w:spacing w:after="120" w:before="0" w:line="288" w:lineRule="auto"/>
      </w:pPr>
      <w:r>
        <w:rPr>
          <w:rFonts w:ascii="Aptos" w:cs="Aptos" w:eastAsia="Aptos" w:hAnsi="Aptos"/>
          <w:b w:val="false"/>
          <w:bCs w:val="false"/>
          <w:i w:val="false"/>
          <w:iCs w:val="false"/>
          <w:color w:val="20252A"/>
          <w:sz w:val="22"/>
          <w:szCs w:val="22"/>
          <w:lang w:val="es-CL"/>
        </w:rPr>
        <w:t xml:space="preserve">La iglesia proclama la muerte del Señor hasta que Él venga. El memorial mira hacia la cruz, confronta el corazón en el presente y sostiene la esperanza del regreso de Cristo.</w:t>
      </w:r>
    </w:p>
    <w:p>
      <w:pPr>
        <w:pStyle w:val="Heading1"/>
        <w:keepNext/>
        <w:spacing w:after="110" w:before="300"/>
      </w:pPr>
      <w:r>
        <w:t xml:space="preserve">Aplicación</w:t>
      </w:r>
    </w:p>
    <w:p>
      <w:pPr>
        <w:pStyle w:val="ListParagraph"/>
        <w:numPr>
          <w:ilvl w:val="0"/>
          <w:numId w:val="4"/>
        </w:numPr>
        <w:spacing w:after="80" w:line="276"/>
      </w:pPr>
      <w:r>
        <w:rPr>
          <w:rFonts w:ascii="Aptos" w:cs="Aptos" w:eastAsia="Aptos" w:hAnsi="Aptos"/>
          <w:b w:val="false"/>
          <w:bCs w:val="false"/>
          <w:i w:val="false"/>
          <w:iCs w:val="false"/>
          <w:color w:val="20252A"/>
          <w:sz w:val="22"/>
          <w:szCs w:val="22"/>
          <w:lang w:val="es-CL"/>
        </w:rPr>
        <w:t xml:space="preserve">Para la congregación: mantenga la Cena en la reunión del primer día de la semana y claramente separada de las comidas comunes.</w:t>
      </w:r>
    </w:p>
    <w:p>
      <w:pPr>
        <w:pStyle w:val="ListParagraph"/>
        <w:numPr>
          <w:ilvl w:val="0"/>
          <w:numId w:val="4"/>
        </w:numPr>
        <w:spacing w:after="80" w:line="276"/>
      </w:pPr>
      <w:r>
        <w:rPr>
          <w:rFonts w:ascii="Aptos" w:cs="Aptos" w:eastAsia="Aptos" w:hAnsi="Aptos"/>
          <w:b w:val="false"/>
          <w:bCs w:val="false"/>
          <w:i w:val="false"/>
          <w:iCs w:val="false"/>
          <w:color w:val="20252A"/>
          <w:sz w:val="22"/>
          <w:szCs w:val="22"/>
          <w:lang w:val="es-CL"/>
        </w:rPr>
        <w:t xml:space="preserve">Para maestros y predicadores: no use Hechos 2:46 como prueba de que la Cena era un ágape. El propio versículo explica que se trataba de alimentos compartidos en las casas.</w:t>
      </w:r>
    </w:p>
    <w:p>
      <w:pPr>
        <w:pStyle w:val="ListParagraph"/>
        <w:numPr>
          <w:ilvl w:val="0"/>
          <w:numId w:val="4"/>
        </w:numPr>
        <w:spacing w:after="80" w:line="276"/>
      </w:pPr>
      <w:r>
        <w:rPr>
          <w:rFonts w:ascii="Aptos" w:cs="Aptos" w:eastAsia="Aptos" w:hAnsi="Aptos"/>
          <w:b w:val="false"/>
          <w:bCs w:val="false"/>
          <w:i w:val="false"/>
          <w:iCs w:val="false"/>
          <w:color w:val="20252A"/>
          <w:sz w:val="22"/>
          <w:szCs w:val="22"/>
          <w:lang w:val="es-CL"/>
        </w:rPr>
        <w:t xml:space="preserve">Para cada cristiano: practique hospitalidad con alegría, pero no confunda la mesa del hogar con el memorial instituido por Cristo.</w:t>
      </w:r>
    </w:p>
    <w:p>
      <w:pPr>
        <w:pStyle w:val="ListParagraph"/>
        <w:numPr>
          <w:ilvl w:val="0"/>
          <w:numId w:val="4"/>
        </w:numPr>
        <w:spacing w:after="80" w:line="276"/>
      </w:pPr>
      <w:r>
        <w:rPr>
          <w:rFonts w:ascii="Aptos" w:cs="Aptos" w:eastAsia="Aptos" w:hAnsi="Aptos"/>
          <w:b w:val="false"/>
          <w:bCs w:val="false"/>
          <w:i w:val="false"/>
          <w:iCs w:val="false"/>
          <w:color w:val="20252A"/>
          <w:sz w:val="22"/>
          <w:szCs w:val="22"/>
          <w:lang w:val="es-CL"/>
        </w:rPr>
        <w:t xml:space="preserve">Para quienes participan: recuerden el cuerpo y la sangre del Señor, examínense y proclamen su muerte con reverencia.</w:t>
      </w:r>
    </w:p>
    <w:p>
      <w:pPr>
        <w:pStyle w:val="ListParagraph"/>
        <w:numPr>
          <w:ilvl w:val="0"/>
          <w:numId w:val="4"/>
        </w:numPr>
        <w:spacing w:after="80" w:line="276"/>
      </w:pPr>
      <w:r>
        <w:rPr>
          <w:rFonts w:ascii="Aptos" w:cs="Aptos" w:eastAsia="Aptos" w:hAnsi="Aptos"/>
          <w:b w:val="false"/>
          <w:bCs w:val="false"/>
          <w:i w:val="false"/>
          <w:iCs w:val="false"/>
          <w:color w:val="20252A"/>
          <w:sz w:val="22"/>
          <w:szCs w:val="22"/>
          <w:lang w:val="es-CL"/>
        </w:rPr>
        <w:t xml:space="preserve">Para la iglesia que ha mezclado ambas cosas: vuelva al patrón apostólico. La corrección no consiste en administrar mejor la comida social, sino en conservar la Cena como la Cena del Señor.</w:t>
      </w:r>
    </w:p>
    <w:p>
      <w:pPr>
        <w:pStyle w:val="Heading1"/>
        <w:keepNext/>
        <w:spacing w:after="110" w:before="300"/>
      </w:pPr>
      <w:r>
        <w:t xml:space="preserve">Conclusión</w:t>
      </w:r>
    </w:p>
    <w:p>
      <w:pPr>
        <w:keepNext w:val="false"/>
        <w:spacing w:after="120" w:before="0" w:line="288" w:lineRule="auto"/>
      </w:pPr>
      <w:r>
        <w:rPr>
          <w:rFonts w:ascii="Aptos" w:cs="Aptos" w:eastAsia="Aptos" w:hAnsi="Aptos"/>
          <w:b w:val="false"/>
          <w:bCs w:val="false"/>
          <w:i w:val="false"/>
          <w:iCs w:val="false"/>
          <w:color w:val="20252A"/>
          <w:sz w:val="22"/>
          <w:szCs w:val="22"/>
          <w:lang w:val="es-CL"/>
        </w:rPr>
        <w:t xml:space="preserve">Hechos 2 no presenta una sola comida con dos descripciones intercambiables. Hechos 2:42 muestra a la iglesia perseverando en el partimiento del pan dentro de la vida apostólica. Hechos 2:46 muestra a cristianos compartiendo alimentos en sus casas. Una es la Cena del Señor; la otra es hospitalidad cotidiana.</w:t>
      </w:r>
    </w:p>
    <w:p>
      <w:pPr>
        <w:keepNext w:val="false"/>
        <w:spacing w:after="120" w:before="0" w:line="288" w:lineRule="auto"/>
      </w:pPr>
      <w:r>
        <w:rPr>
          <w:rFonts w:ascii="Aptos" w:cs="Aptos" w:eastAsia="Aptos" w:hAnsi="Aptos"/>
          <w:b w:val="false"/>
          <w:bCs w:val="false"/>
          <w:i w:val="false"/>
          <w:iCs w:val="false"/>
          <w:color w:val="20252A"/>
          <w:sz w:val="22"/>
          <w:szCs w:val="22"/>
          <w:lang w:val="es-CL"/>
        </w:rPr>
        <w:t xml:space="preserve">Los ágapes pueden ilustrar amor fraternal, pero no definen la Cena ni autorizan colocarla dentro de una comida común. Primera a los Corintios 11 confirma la separación: la Cena pertenece al Señor; el hambre física se satisface en casa.</w:t>
      </w:r>
    </w:p>
    <w:p>
      <w:pPr>
        <w:keepNext w:val="false"/>
        <w:spacing w:after="120" w:before="0" w:line="288" w:lineRule="auto"/>
      </w:pPr>
      <w:r>
        <w:rPr>
          <w:rFonts w:ascii="Aptos" w:cs="Aptos" w:eastAsia="Aptos" w:hAnsi="Aptos"/>
          <w:b w:val="false"/>
          <w:bCs w:val="false"/>
          <w:i w:val="false"/>
          <w:iCs w:val="false"/>
          <w:color w:val="20252A"/>
          <w:sz w:val="22"/>
          <w:szCs w:val="22"/>
          <w:lang w:val="es-CL"/>
        </w:rPr>
        <w:t xml:space="preserve">La iglesia honra a Cristo cuando conserva como santo lo que Él hizo santo: </w:t>
      </w:r>
      <w:r>
        <w:rPr>
          <w:rFonts w:ascii="Aptos" w:cs="Aptos" w:eastAsia="Aptos" w:hAnsi="Aptos"/>
          <w:b/>
          <w:bCs/>
          <w:i w:val="false"/>
          <w:iCs w:val="false"/>
          <w:color w:val="20252A"/>
          <w:sz w:val="22"/>
          <w:szCs w:val="22"/>
          <w:lang w:val="es-CL"/>
        </w:rPr>
        <w:t xml:space="preserve">el pan, la copa, la memoria de su sacrificio y la proclamación de su muerte hasta que Él venga.</w:t>
      </w:r>
    </w:p>
    <w:p>
      <w:pPr>
        <w:pStyle w:val="Heading1"/>
        <w:keepNext/>
        <w:spacing w:after="110" w:before="300"/>
      </w:pPr>
      <w:r>
        <w:t xml:space="preserve">Preguntas para repaso y discusión</w:t>
      </w:r>
    </w:p>
    <w:p>
      <w:pPr>
        <w:pStyle w:val="ListParagraph"/>
        <w:numPr>
          <w:ilvl w:val="0"/>
          <w:numId w:val="5"/>
        </w:numPr>
        <w:spacing w:after="80" w:line="276"/>
      </w:pPr>
      <w:r>
        <w:rPr>
          <w:rFonts w:ascii="Aptos" w:cs="Aptos" w:eastAsia="Aptos" w:hAnsi="Aptos"/>
          <w:b w:val="false"/>
          <w:bCs w:val="false"/>
          <w:i w:val="false"/>
          <w:iCs w:val="false"/>
          <w:color w:val="20252A"/>
          <w:sz w:val="22"/>
          <w:szCs w:val="22"/>
          <w:lang w:val="es-CL"/>
        </w:rPr>
        <w:t xml:space="preserve">¿Qué elementos del contexto distinguen Hechos 2:42 de Hechos 2:46?</w:t>
      </w:r>
    </w:p>
    <w:p>
      <w:pPr>
        <w:pStyle w:val="ListParagraph"/>
        <w:numPr>
          <w:ilvl w:val="0"/>
          <w:numId w:val="5"/>
        </w:numPr>
        <w:spacing w:after="80" w:line="276"/>
      </w:pPr>
      <w:r>
        <w:rPr>
          <w:rFonts w:ascii="Aptos" w:cs="Aptos" w:eastAsia="Aptos" w:hAnsi="Aptos"/>
          <w:b w:val="false"/>
          <w:bCs w:val="false"/>
          <w:i w:val="false"/>
          <w:iCs w:val="false"/>
          <w:color w:val="20252A"/>
          <w:sz w:val="22"/>
          <w:szCs w:val="22"/>
          <w:lang w:val="es-CL"/>
        </w:rPr>
        <w:t xml:space="preserve">¿Por qué no podemos dar a “partir el pan” el mismo significado en cada pasaje?</w:t>
      </w:r>
    </w:p>
    <w:p>
      <w:pPr>
        <w:pStyle w:val="ListParagraph"/>
        <w:numPr>
          <w:ilvl w:val="0"/>
          <w:numId w:val="5"/>
        </w:numPr>
        <w:spacing w:after="80" w:line="276"/>
      </w:pPr>
      <w:r>
        <w:rPr>
          <w:rFonts w:ascii="Aptos" w:cs="Aptos" w:eastAsia="Aptos" w:hAnsi="Aptos"/>
          <w:b w:val="false"/>
          <w:bCs w:val="false"/>
          <w:i w:val="false"/>
          <w:iCs w:val="false"/>
          <w:color w:val="20252A"/>
          <w:sz w:val="22"/>
          <w:szCs w:val="22"/>
          <w:lang w:val="es-CL"/>
        </w:rPr>
        <w:t xml:space="preserve">¿Qué afirma Judas 12 acerca de los ágapes, y qué no afirma?</w:t>
      </w:r>
    </w:p>
    <w:p>
      <w:pPr>
        <w:pStyle w:val="ListParagraph"/>
        <w:numPr>
          <w:ilvl w:val="0"/>
          <w:numId w:val="5"/>
        </w:numPr>
        <w:spacing w:after="80" w:line="276"/>
      </w:pPr>
      <w:r>
        <w:rPr>
          <w:rFonts w:ascii="Aptos" w:cs="Aptos" w:eastAsia="Aptos" w:hAnsi="Aptos"/>
          <w:b w:val="false"/>
          <w:bCs w:val="false"/>
          <w:i w:val="false"/>
          <w:iCs w:val="false"/>
          <w:color w:val="20252A"/>
          <w:sz w:val="22"/>
          <w:szCs w:val="22"/>
          <w:lang w:val="es-CL"/>
        </w:rPr>
        <w:t xml:space="preserve">¿Cómo distingue Pablo entre “su propia cena” y “la Cena del Señor”?</w:t>
      </w:r>
    </w:p>
    <w:p>
      <w:pPr>
        <w:pStyle w:val="ListParagraph"/>
        <w:numPr>
          <w:ilvl w:val="0"/>
          <w:numId w:val="5"/>
        </w:numPr>
        <w:spacing w:after="80" w:line="276"/>
      </w:pPr>
      <w:r>
        <w:rPr>
          <w:rFonts w:ascii="Aptos" w:cs="Aptos" w:eastAsia="Aptos" w:hAnsi="Aptos"/>
          <w:b w:val="false"/>
          <w:bCs w:val="false"/>
          <w:i w:val="false"/>
          <w:iCs w:val="false"/>
          <w:color w:val="20252A"/>
          <w:sz w:val="22"/>
          <w:szCs w:val="22"/>
          <w:lang w:val="es-CL"/>
        </w:rPr>
        <w:t xml:space="preserve">¿Qué propósito tiene la Cena según 1 Corintios 10:16–17 y 11:23–29?</w:t>
      </w:r>
    </w:p>
    <w:p>
      <w:pPr>
        <w:pStyle w:val="ListParagraph"/>
        <w:numPr>
          <w:ilvl w:val="0"/>
          <w:numId w:val="5"/>
        </w:numPr>
        <w:spacing w:after="80" w:line="276"/>
      </w:pPr>
      <w:r>
        <w:rPr>
          <w:rFonts w:ascii="Aptos" w:cs="Aptos" w:eastAsia="Aptos" w:hAnsi="Aptos"/>
          <w:b w:val="false"/>
          <w:bCs w:val="false"/>
          <w:i w:val="false"/>
          <w:iCs w:val="false"/>
          <w:color w:val="20252A"/>
          <w:sz w:val="22"/>
          <w:szCs w:val="22"/>
          <w:lang w:val="es-CL"/>
        </w:rPr>
        <w:t xml:space="preserve">¿Cómo puede una congregación enseñar esta distinción sin menospreciar la hospitalidad cristiana?</w:t>
      </w:r>
    </w:p>
    <w:p>
      <w:pPr>
        <w:pStyle w:val="Heading1"/>
        <w:keepNext/>
        <w:spacing w:after="110" w:before="300"/>
      </w:pPr>
      <w:r>
        <w:t xml:space="preserve">Fuentes consultadas</w:t>
      </w:r>
    </w:p>
    <w:p>
      <w:pPr>
        <w:pStyle w:val="ListParagraph"/>
        <w:numPr>
          <w:ilvl w:val="0"/>
          <w:numId w:val="2"/>
        </w:numPr>
        <w:spacing w:after="25" w:line="238"/>
      </w:pPr>
      <w:r>
        <w:rPr>
          <w:rFonts w:ascii="Aptos" w:cs="Aptos" w:eastAsia="Aptos" w:hAnsi="Aptos"/>
          <w:b w:val="false"/>
          <w:bCs w:val="false"/>
          <w:i w:val="false"/>
          <w:iCs w:val="false"/>
          <w:color w:val="20252A"/>
          <w:sz w:val="19"/>
          <w:szCs w:val="19"/>
          <w:lang w:val="es-CL"/>
        </w:rPr>
        <w:t xml:space="preserve">Ed Rangel, “Attitudes Toward the Lord’s Supper”, EVV Faith, enseñanza basada en 1 Corintios 11:23–29.</w:t>
      </w:r>
    </w:p>
    <w:p>
      <w:pPr>
        <w:pStyle w:val="ListParagraph"/>
        <w:numPr>
          <w:ilvl w:val="0"/>
          <w:numId w:val="2"/>
        </w:numPr>
        <w:spacing w:after="25" w:line="238"/>
      </w:pPr>
      <w:r>
        <w:rPr>
          <w:rFonts w:ascii="Aptos" w:cs="Aptos" w:eastAsia="Aptos" w:hAnsi="Aptos"/>
          <w:b w:val="false"/>
          <w:bCs w:val="false"/>
          <w:i w:val="false"/>
          <w:iCs w:val="false"/>
          <w:color w:val="20252A"/>
          <w:sz w:val="19"/>
          <w:szCs w:val="19"/>
          <w:lang w:val="es-CL"/>
        </w:rPr>
        <w:t xml:space="preserve">Biblioteca Berea, Interrogantes y Respuestas #288, “Partir el pan: Hechos 2:46; 20:7–12”.</w:t>
      </w:r>
    </w:p>
    <w:p>
      <w:pPr>
        <w:pStyle w:val="ListParagraph"/>
        <w:numPr>
          <w:ilvl w:val="0"/>
          <w:numId w:val="2"/>
        </w:numPr>
        <w:spacing w:after="25" w:line="238"/>
      </w:pPr>
      <w:r>
        <w:rPr>
          <w:rFonts w:ascii="Aptos" w:cs="Aptos" w:eastAsia="Aptos" w:hAnsi="Aptos"/>
          <w:b w:val="false"/>
          <w:bCs w:val="false"/>
          <w:i w:val="false"/>
          <w:iCs w:val="false"/>
          <w:color w:val="20252A"/>
          <w:sz w:val="19"/>
          <w:szCs w:val="19"/>
          <w:lang w:val="es-CL"/>
        </w:rPr>
        <w:t xml:space="preserve">Biblioteca Berea, Interrogantes y Respuestas #951, “La Cena del Señor y los Ágapes”.</w:t>
      </w:r>
    </w:p>
    <w:p>
      <w:pPr>
        <w:pStyle w:val="ListParagraph"/>
        <w:numPr>
          <w:ilvl w:val="0"/>
          <w:numId w:val="2"/>
        </w:numPr>
        <w:spacing w:after="25" w:line="238"/>
      </w:pPr>
      <w:r>
        <w:rPr>
          <w:rFonts w:ascii="Aptos" w:cs="Aptos" w:eastAsia="Aptos" w:hAnsi="Aptos"/>
          <w:b w:val="false"/>
          <w:bCs w:val="false"/>
          <w:i w:val="false"/>
          <w:iCs w:val="false"/>
          <w:color w:val="20252A"/>
          <w:sz w:val="19"/>
          <w:szCs w:val="19"/>
          <w:lang w:val="es-CL"/>
        </w:rPr>
        <w:t xml:space="preserve">Textos bíblicos estudiados: Mateo 26:26–29; Marcos 14:22–25; Lucas 22:14–20; Hechos 2:42, 46; 20:7, 11; 1 Corintios 10:16–17; 11:17–34; Judas 12.</w:t>
      </w:r>
    </w:p>
    <w:sectPr>
      <w:footerReference w:type="default" r:id="rId7"/>
      <w:pgSz w:w="12240" w:h="15840" w:orient="portrait"/>
      <w:pgMar w:top="900" w:right="960" w:bottom="900" w:left="960" w:header="360" w:footer="4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4DC" w:sz="5" w:space="6"/>
      </w:pBdr>
      <w:spacing w:after="0" w:before="80"/>
      <w:jc w:val="center"/>
    </w:pPr>
    <w:r>
      <w:rPr>
        <w:rFonts w:ascii="Aptos" w:cs="Aptos" w:eastAsia="Aptos" w:hAnsi="Aptos"/>
        <w:b w:val="false"/>
        <w:bCs w:val="false"/>
        <w:i w:val="false"/>
        <w:iCs w:val="false"/>
        <w:color w:val="5B6570"/>
        <w:sz w:val="22"/>
        <w:szCs w:val="22"/>
        <w:lang w:val="es-CL"/>
      </w:rPr>
      <w:t xml:space="preserve">EVV Faith  •  El partimiento del pan y la Cena del Señor</w:t>
    </w:r>
    <w:r>
      <w:rPr>
        <w:rFonts w:ascii="Aptos" w:cs="Aptos" w:eastAsia="Aptos" w:hAnsi="Aptos"/>
        <w:b w:val="false"/>
        <w:bCs w:val="false"/>
        <w:i w:val="false"/>
        <w:iCs w:val="false"/>
        <w:color w:val="9AA3AA"/>
        <w:sz w:val="22"/>
        <w:szCs w:val="22"/>
        <w:lang w:val="es-CL"/>
      </w:rPr>
      <w:t xml:space="preserve">    |    </w:t>
    </w:r>
    <w:r>
      <w:rPr>
        <w:rFonts w:ascii="Aptos" w:cs="Aptos" w:eastAsia="Aptos" w:hAnsi="Aptos"/>
        <w:color w:val="5B6570"/>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20" w:hanging="260"/>
      </w:pPr>
    </w:lvl>
    <w:lvl w:ilvl="1" w15:tentative="1">
      <w:start w:val="1"/>
      <w:numFmt w:val="bullet"/>
      <w:lvlText w:val="–"/>
      <w:lvlJc w:val="left"/>
      <w:pPr>
        <w:ind w:left="900" w:hanging="260"/>
      </w:pPr>
    </w:lvl>
  </w:abstractNum>
  <w:abstractNum w:abstractNumId="3" w15:restartNumberingAfterBreak="0">
    <w:multiLevelType w:val="hybridMultilevel"/>
    <w:lvl w:ilvl="0" w15:tentative="1">
      <w:start w:val="1"/>
      <w:numFmt w:val="decimal"/>
      <w:lvlText w:val="%1."/>
      <w:lvlJc w:val="left"/>
      <w:pPr>
        <w:ind w:left="560" w:hanging="300"/>
      </w:pPr>
    </w:lvl>
  </w:abstractNum>
  <w:abstractNum w:abstractNumId="4" w15:restartNumberingAfterBreak="0">
    <w:multiLevelType w:val="hybridMultilevel"/>
    <w:lvl w:ilvl="0" w15:tentative="1">
      <w:start w:val="1"/>
      <w:numFmt w:val="decimal"/>
      <w:lvlText w:val="%1."/>
      <w:lvlJc w:val="left"/>
      <w:pPr>
        <w:ind w:left="560" w:hanging="300"/>
      </w:pPr>
    </w:lvl>
  </w:abstractNum>
  <w:abstractNum w:abstractNumId="5" w15:restartNumberingAfterBreak="0">
    <w:multiLevelType w:val="hybridMultilevel"/>
    <w:lvl w:ilvl="0" w15:tentative="1">
      <w:start w:val="1"/>
      <w:numFmt w:val="decimal"/>
      <w:lvlText w:val="%1."/>
      <w:lvlJc w:val="left"/>
      <w:pPr>
        <w:ind w:left="5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20252A"/>
        <w:sz w:val="22"/>
        <w:szCs w:val="22"/>
      </w:rPr>
    </w:rPrDefault>
    <w:pPrDefault>
      <w:pPr>
        <w:spacing w:after="120" w:line="288"/>
      </w:pPr>
    </w:pPrDefault>
  </w:docDefaults>
  <w:style w:type="paragraph" w:styleId="Title">
    <w:name w:val="Title"/>
    <w:basedOn w:val="Normal"/>
    <w:next w:val="Normal"/>
    <w:qFormat/>
    <w:rPr>
      <w:rFonts w:ascii="Aptos Display" w:cs="Aptos Display" w:eastAsia="Aptos Display" w:hAnsi="Aptos Display"/>
      <w:b/>
      <w:bCs/>
      <w:color w:val="18324A"/>
      <w:sz w:val="48"/>
      <w:szCs w:val="48"/>
    </w:rPr>
  </w:style>
  <w:style w:type="paragraph" w:styleId="Heading1">
    <w:name w:val="Heading 1"/>
    <w:basedOn w:val="Normal"/>
    <w:next w:val="Normal"/>
    <w:qFormat/>
    <w:pPr>
      <w:spacing w:after="110" w:before="300"/>
      <w:outlineLvl w:val="0"/>
    </w:pPr>
    <w:rPr>
      <w:rFonts w:ascii="Aptos Display" w:cs="Aptos Display" w:eastAsia="Aptos Display" w:hAnsi="Aptos Display"/>
      <w:b/>
      <w:bCs/>
      <w:color w:val="18324A"/>
      <w:sz w:val="30"/>
      <w:szCs w:val="30"/>
    </w:rPr>
  </w:style>
  <w:style w:type="paragraph" w:styleId="Heading2">
    <w:name w:val="Heading 2"/>
    <w:basedOn w:val="Normal"/>
    <w:next w:val="Normal"/>
    <w:qFormat/>
    <w:pPr>
      <w:spacing w:after="90" w:before="220"/>
      <w:outlineLvl w:val="1"/>
    </w:pPr>
    <w:rPr>
      <w:rFonts w:ascii="Aptos Display" w:cs="Aptos Display" w:eastAsia="Aptos Display" w:hAnsi="Aptos Display"/>
      <w:b/>
      <w:bCs/>
      <w:color w:val="2D5D7B"/>
      <w:sz w:val="25"/>
      <w:szCs w:val="25"/>
    </w:rPr>
  </w:style>
  <w:style w:type="paragraph" w:styleId="Heading3">
    <w:name w:val="Heading 3"/>
    <w:basedOn w:val="Normal"/>
    <w:next w:val="Normal"/>
    <w:qFormat/>
    <w:pPr>
      <w:spacing w:after="70" w:before="160"/>
      <w:outlineLvl w:val="2"/>
    </w:pPr>
    <w:rPr>
      <w:rFonts w:ascii="Aptos Display" w:cs="Aptos Display" w:eastAsia="Aptos Display" w:hAnsi="Aptos Display"/>
      <w:b/>
      <w:bCs/>
      <w:color w:val="5B6570"/>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partimiento del pan y la Cena del Señor</dc:title>
  <dc:subject>Enseñanza bíblica sobre Hechos 2:42, Hechos 2:46, los ágapes y la Cena del Señor</dc:subject>
  <dc:creator>Ed Rangel</dc:creator>
  <dc:description>Enseñanza expositiva en español basada en EVV Faith y la Biblioteca Berea.</dc:description>
  <cp:lastModifiedBy>Un-named</cp:lastModifiedBy>
  <cp:revision>1</cp:revision>
  <dcterms:created xsi:type="dcterms:W3CDTF">2026-10-20T02:13:25.930Z</dcterms:created>
  <dcterms:modified xsi:type="dcterms:W3CDTF">2026-10-20T02:13:25.931Z</dcterms:modified>
</cp:coreProperties>
</file>

<file path=docProps/custom.xml><?xml version="1.0" encoding="utf-8"?>
<Properties xmlns="http://schemas.openxmlformats.org/officeDocument/2006/custom-properties" xmlns:vt="http://schemas.openxmlformats.org/officeDocument/2006/docPropsVTypes"/>
</file>